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99387" w14:textId="77777777" w:rsidR="00034611" w:rsidRPr="00034611" w:rsidRDefault="00034611" w:rsidP="00034611">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034611">
        <w:rPr>
          <w:rFonts w:ascii="Segoe UI" w:eastAsia="Times New Roman" w:hAnsi="Segoe UI" w:cs="Segoe UI"/>
          <w:b/>
          <w:bCs/>
          <w:kern w:val="36"/>
          <w:sz w:val="48"/>
          <w:szCs w:val="48"/>
          <w:lang w:eastAsia="en-GB"/>
          <w14:ligatures w14:val="none"/>
        </w:rPr>
        <w:t>REC Final Change Report – “Introduction of a Sweet Treat Reward System”</w:t>
      </w:r>
    </w:p>
    <w:p w14:paraId="7A5D70CA" w14:textId="77777777" w:rsidR="00034611" w:rsidRPr="00034611" w:rsidRDefault="00034611" w:rsidP="00034611">
      <w:pPr>
        <w:spacing w:before="100" w:beforeAutospacing="1" w:after="100" w:afterAutospacing="1" w:line="300" w:lineRule="atLeast"/>
        <w:outlineLvl w:val="1"/>
        <w:rPr>
          <w:rFonts w:ascii="Segoe UI" w:eastAsia="Times New Roman" w:hAnsi="Segoe UI" w:cs="Segoe UI"/>
          <w:b/>
          <w:bCs/>
          <w:sz w:val="36"/>
          <w:szCs w:val="36"/>
          <w:lang w:eastAsia="en-GB"/>
          <w14:ligatures w14:val="none"/>
        </w:rPr>
      </w:pPr>
      <w:r w:rsidRPr="00034611">
        <w:rPr>
          <w:rFonts w:ascii="Segoe UI" w:eastAsia="Times New Roman" w:hAnsi="Segoe UI" w:cs="Segoe UI"/>
          <w:b/>
          <w:bCs/>
          <w:sz w:val="36"/>
          <w:szCs w:val="36"/>
          <w:lang w:eastAsia="en-GB"/>
          <w14:ligatures w14:val="none"/>
        </w:rPr>
        <w:t>1. Summary of the Proposed Change</w:t>
      </w:r>
    </w:p>
    <w:p w14:paraId="049973A8" w14:textId="7B323EA1"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This proposal introduces a formalised “Sweet Treat Reward System” within the REC governance framework, whereby participants are recognised with confectionery-based incentives for timely delivery, high-quality submissions, and proactive engagement in the change process. The change aims to improve stakeholder participation, reduce consultation fatigue, and enhance overall delivery performance by introducing a light-touch behavioural incentive aligned to existing governance activities.</w:t>
      </w:r>
    </w:p>
    <w:p w14:paraId="0DF698D3" w14:textId="77777777" w:rsidR="00034611" w:rsidRPr="00034611" w:rsidRDefault="00034611" w:rsidP="00034611">
      <w:pPr>
        <w:spacing w:before="100" w:beforeAutospacing="1" w:after="100" w:afterAutospacing="1" w:line="300" w:lineRule="atLeast"/>
        <w:outlineLvl w:val="1"/>
        <w:rPr>
          <w:rFonts w:ascii="Segoe UI" w:eastAsia="Times New Roman" w:hAnsi="Segoe UI" w:cs="Segoe UI"/>
          <w:b/>
          <w:bCs/>
          <w:sz w:val="36"/>
          <w:szCs w:val="36"/>
          <w:lang w:eastAsia="en-GB"/>
          <w14:ligatures w14:val="none"/>
        </w:rPr>
      </w:pPr>
      <w:r w:rsidRPr="00034611">
        <w:rPr>
          <w:rFonts w:ascii="Segoe UI" w:eastAsia="Times New Roman" w:hAnsi="Segoe UI" w:cs="Segoe UI"/>
          <w:b/>
          <w:bCs/>
          <w:sz w:val="36"/>
          <w:szCs w:val="36"/>
          <w:lang w:eastAsia="en-GB"/>
          <w14:ligatures w14:val="none"/>
        </w:rPr>
        <w:t>2. Problem Statement</w:t>
      </w:r>
    </w:p>
    <w:p w14:paraId="4851913F"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The REC change process currently relies on formal obligations and voluntary participation to secure stakeholder engagement; however, this approach does not consistently drive timely, high-quality input during key stages such as consultations and working groups. As a result, participation can be delayed, inconsistent, or limited in substance, reducing the effectiveness of impact assessments and slowing overall change delivery.</w:t>
      </w:r>
    </w:p>
    <w:p w14:paraId="7094A965" w14:textId="3FDC05C1"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In the absence of any positive reinforcement mechanisms, the process places full reliance on compliance rather than motivation, which may not fully reflect the human factors influencing engagement. This creates a persistent gap between the intended collaborative nature of the REC and the reality of stakeholder behaviour, ultimately affecting the pace and quality of change outcomes delivered to the market.</w:t>
      </w:r>
    </w:p>
    <w:p w14:paraId="12337983" w14:textId="77777777" w:rsidR="00034611" w:rsidRPr="00034611" w:rsidRDefault="00034611" w:rsidP="00034611">
      <w:pPr>
        <w:spacing w:before="100" w:beforeAutospacing="1" w:after="100" w:afterAutospacing="1" w:line="300" w:lineRule="atLeast"/>
        <w:outlineLvl w:val="1"/>
        <w:rPr>
          <w:rFonts w:ascii="Segoe UI" w:eastAsia="Times New Roman" w:hAnsi="Segoe UI" w:cs="Segoe UI"/>
          <w:b/>
          <w:bCs/>
          <w:sz w:val="36"/>
          <w:szCs w:val="36"/>
          <w:lang w:eastAsia="en-GB"/>
          <w14:ligatures w14:val="none"/>
        </w:rPr>
      </w:pPr>
      <w:r w:rsidRPr="00034611">
        <w:rPr>
          <w:rFonts w:ascii="Segoe UI" w:eastAsia="Times New Roman" w:hAnsi="Segoe UI" w:cs="Segoe UI"/>
          <w:b/>
          <w:bCs/>
          <w:sz w:val="36"/>
          <w:szCs w:val="36"/>
          <w:lang w:eastAsia="en-GB"/>
          <w14:ligatures w14:val="none"/>
        </w:rPr>
        <w:t>3. Description of the Current Issue</w:t>
      </w:r>
    </w:p>
    <w:p w14:paraId="5BC946C4"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Currently, stakeholder engagement in the REC change process can be inconsistent, particularly during consultations and working group activities, where responses are often delayed, minimal, or absent. This issue typically arises during impact assessment and consultation phases and affects Code Managers, industry participants, and service providers, limiting the quality and completeness of input used to inform decisions.</w:t>
      </w:r>
    </w:p>
    <w:p w14:paraId="26230E09" w14:textId="302663F1"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Existing REC provisions rely on voluntary participation and formal obligations but do not include mechanisms to positively incentivise timely and high-quality contributions. As a result, engagement levels may not consistently meet the needs of an effective, collaborative change process.</w:t>
      </w:r>
    </w:p>
    <w:p w14:paraId="29DE2D03" w14:textId="77777777" w:rsidR="00034611" w:rsidRPr="00034611" w:rsidRDefault="00034611" w:rsidP="00034611">
      <w:pPr>
        <w:spacing w:before="100" w:beforeAutospacing="1" w:after="100" w:afterAutospacing="1" w:line="300" w:lineRule="atLeast"/>
        <w:outlineLvl w:val="1"/>
        <w:rPr>
          <w:rFonts w:ascii="Segoe UI" w:eastAsia="Times New Roman" w:hAnsi="Segoe UI" w:cs="Segoe UI"/>
          <w:b/>
          <w:bCs/>
          <w:sz w:val="36"/>
          <w:szCs w:val="36"/>
          <w:lang w:eastAsia="en-GB"/>
          <w14:ligatures w14:val="none"/>
        </w:rPr>
      </w:pPr>
      <w:r w:rsidRPr="00034611">
        <w:rPr>
          <w:rFonts w:ascii="Segoe UI" w:eastAsia="Times New Roman" w:hAnsi="Segoe UI" w:cs="Segoe UI"/>
          <w:b/>
          <w:bCs/>
          <w:sz w:val="36"/>
          <w:szCs w:val="36"/>
          <w:lang w:eastAsia="en-GB"/>
          <w14:ligatures w14:val="none"/>
        </w:rPr>
        <w:lastRenderedPageBreak/>
        <w:t>4. Objectives and Intended Outcomes</w:t>
      </w:r>
    </w:p>
    <w:p w14:paraId="4B719957"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The intended outcome is to establish a more engaging and responsive REC change process, where stakeholders consistently provide timely, high-quality inputs supported by a light-touch incentive mechanism.</w:t>
      </w:r>
    </w:p>
    <w:p w14:paraId="0DED0D1D" w14:textId="1873C014"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Following implementation, industry participants are expected to demonstrate improved participation in consultations and working groups, leading to more robust decision-making, reduced delivery timelines, and an overall enhancement in the effectiveness of REC governance.</w:t>
      </w:r>
    </w:p>
    <w:p w14:paraId="5A1CC72F" w14:textId="77777777" w:rsidR="00034611" w:rsidRPr="00034611" w:rsidRDefault="00034611" w:rsidP="00034611">
      <w:pPr>
        <w:spacing w:before="100" w:beforeAutospacing="1" w:after="100" w:afterAutospacing="1" w:line="300" w:lineRule="atLeast"/>
        <w:outlineLvl w:val="1"/>
        <w:rPr>
          <w:rFonts w:ascii="Segoe UI" w:eastAsia="Times New Roman" w:hAnsi="Segoe UI" w:cs="Segoe UI"/>
          <w:b/>
          <w:bCs/>
          <w:sz w:val="36"/>
          <w:szCs w:val="36"/>
          <w:lang w:eastAsia="en-GB"/>
          <w14:ligatures w14:val="none"/>
        </w:rPr>
      </w:pPr>
      <w:r w:rsidRPr="00034611">
        <w:rPr>
          <w:rFonts w:ascii="Segoe UI" w:eastAsia="Times New Roman" w:hAnsi="Segoe UI" w:cs="Segoe UI"/>
          <w:b/>
          <w:bCs/>
          <w:sz w:val="36"/>
          <w:szCs w:val="36"/>
          <w:lang w:eastAsia="en-GB"/>
          <w14:ligatures w14:val="none"/>
        </w:rPr>
        <w:t>5. Proposed Solution</w:t>
      </w:r>
    </w:p>
    <w:p w14:paraId="1D123204"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The proposed solution is to introduce a new REC provision establishing a “Sweet Treat Reward System” (STRS), creating a non-financial incentive mechanism linked to existing change process activities.</w:t>
      </w:r>
    </w:p>
    <w:p w14:paraId="5E15720F" w14:textId="77777777" w:rsidR="00034611" w:rsidRPr="00034611" w:rsidRDefault="00034611" w:rsidP="00034611">
      <w:pPr>
        <w:spacing w:before="100" w:beforeAutospacing="1" w:after="100" w:afterAutospacing="1" w:line="300" w:lineRule="atLeast"/>
        <w:outlineLvl w:val="2"/>
        <w:rPr>
          <w:rFonts w:ascii="Segoe UI" w:eastAsia="Times New Roman" w:hAnsi="Segoe UI" w:cs="Segoe UI"/>
          <w:b/>
          <w:bCs/>
          <w:sz w:val="27"/>
          <w:szCs w:val="27"/>
          <w:lang w:eastAsia="en-GB"/>
          <w14:ligatures w14:val="none"/>
        </w:rPr>
      </w:pPr>
      <w:r w:rsidRPr="00034611">
        <w:rPr>
          <w:rFonts w:ascii="Segoe UI" w:eastAsia="Times New Roman" w:hAnsi="Segoe UI" w:cs="Segoe UI"/>
          <w:b/>
          <w:bCs/>
          <w:sz w:val="27"/>
          <w:szCs w:val="27"/>
          <w:lang w:eastAsia="en-GB"/>
          <w14:ligatures w14:val="none"/>
        </w:rPr>
        <w:t>5.1 Changes to REC Provisions</w:t>
      </w:r>
    </w:p>
    <w:p w14:paraId="77C58289" w14:textId="77777777" w:rsidR="00034611" w:rsidRPr="00034611" w:rsidRDefault="00034611" w:rsidP="00034611">
      <w:pPr>
        <w:numPr>
          <w:ilvl w:val="0"/>
          <w:numId w:val="9"/>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 xml:space="preserve">Amendments to REC Schedule 5 (Change Management) to: </w:t>
      </w:r>
    </w:p>
    <w:p w14:paraId="6F2DC0D8" w14:textId="77777777" w:rsidR="00034611" w:rsidRPr="00034611" w:rsidRDefault="00034611" w:rsidP="00034611">
      <w:pPr>
        <w:numPr>
          <w:ilvl w:val="1"/>
          <w:numId w:val="9"/>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Permit non-financial incentive mechanisms</w:t>
      </w:r>
    </w:p>
    <w:p w14:paraId="494C2112" w14:textId="77777777" w:rsidR="00034611" w:rsidRPr="00034611" w:rsidRDefault="00034611" w:rsidP="00034611">
      <w:pPr>
        <w:numPr>
          <w:ilvl w:val="1"/>
          <w:numId w:val="9"/>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Define eligibility criteria and governance principles</w:t>
      </w:r>
    </w:p>
    <w:p w14:paraId="089D7A19" w14:textId="77777777" w:rsidR="00034611" w:rsidRPr="00034611" w:rsidRDefault="00034611" w:rsidP="00034611">
      <w:pPr>
        <w:numPr>
          <w:ilvl w:val="1"/>
          <w:numId w:val="9"/>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Formalise responsibilities for administration and reporting</w:t>
      </w:r>
    </w:p>
    <w:p w14:paraId="1C61BA4C" w14:textId="77777777" w:rsidR="00034611" w:rsidRPr="00034611" w:rsidRDefault="00034611" w:rsidP="00034611">
      <w:pPr>
        <w:spacing w:before="100" w:beforeAutospacing="1" w:after="100" w:afterAutospacing="1" w:line="300" w:lineRule="atLeast"/>
        <w:outlineLvl w:val="2"/>
        <w:rPr>
          <w:rFonts w:ascii="Segoe UI" w:eastAsia="Times New Roman" w:hAnsi="Segoe UI" w:cs="Segoe UI"/>
          <w:b/>
          <w:bCs/>
          <w:sz w:val="27"/>
          <w:szCs w:val="27"/>
          <w:lang w:eastAsia="en-GB"/>
          <w14:ligatures w14:val="none"/>
        </w:rPr>
      </w:pPr>
      <w:r w:rsidRPr="00034611">
        <w:rPr>
          <w:rFonts w:ascii="Segoe UI" w:eastAsia="Times New Roman" w:hAnsi="Segoe UI" w:cs="Segoe UI"/>
          <w:b/>
          <w:bCs/>
          <w:sz w:val="27"/>
          <w:szCs w:val="27"/>
          <w:lang w:eastAsia="en-GB"/>
          <w14:ligatures w14:val="none"/>
        </w:rPr>
        <w:t>5.2 End-to-End Operation</w:t>
      </w:r>
    </w:p>
    <w:p w14:paraId="6C34A556"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b/>
          <w:bCs/>
          <w:sz w:val="21"/>
          <w:szCs w:val="21"/>
          <w:lang w:eastAsia="en-GB"/>
          <w14:ligatures w14:val="none"/>
        </w:rPr>
        <w:t>Step 1 – Activity Monitoring</w:t>
      </w:r>
      <w:r w:rsidRPr="00034611">
        <w:rPr>
          <w:rFonts w:ascii="Segoe UI" w:eastAsia="Times New Roman" w:hAnsi="Segoe UI" w:cs="Segoe UI"/>
          <w:sz w:val="21"/>
          <w:szCs w:val="21"/>
          <w:lang w:eastAsia="en-GB"/>
          <w14:ligatures w14:val="none"/>
        </w:rPr>
        <w:br/>
        <w:t>Stakeholder engagement is tracked across:</w:t>
      </w:r>
    </w:p>
    <w:p w14:paraId="3AB7C922" w14:textId="77777777" w:rsidR="00034611" w:rsidRPr="00034611" w:rsidRDefault="00034611" w:rsidP="00034611">
      <w:pPr>
        <w:numPr>
          <w:ilvl w:val="0"/>
          <w:numId w:val="10"/>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Consultation responses (timeliness and completeness)</w:t>
      </w:r>
    </w:p>
    <w:p w14:paraId="37ABDE9D" w14:textId="77777777" w:rsidR="00034611" w:rsidRPr="00034611" w:rsidRDefault="00034611" w:rsidP="00034611">
      <w:pPr>
        <w:numPr>
          <w:ilvl w:val="0"/>
          <w:numId w:val="10"/>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Participation in Change Issue Group (CIG) meetings</w:t>
      </w:r>
    </w:p>
    <w:p w14:paraId="57880EE4" w14:textId="77777777" w:rsidR="00034611" w:rsidRPr="00034611" w:rsidRDefault="00034611" w:rsidP="00034611">
      <w:pPr>
        <w:numPr>
          <w:ilvl w:val="0"/>
          <w:numId w:val="10"/>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Quality and constructiveness of submissions</w:t>
      </w:r>
    </w:p>
    <w:p w14:paraId="19B02336"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b/>
          <w:bCs/>
          <w:sz w:val="21"/>
          <w:szCs w:val="21"/>
          <w:lang w:eastAsia="en-GB"/>
          <w14:ligatures w14:val="none"/>
        </w:rPr>
        <w:t>Step 2 – Eligibility Assessment</w:t>
      </w:r>
    </w:p>
    <w:p w14:paraId="1543950D" w14:textId="77777777" w:rsidR="00034611" w:rsidRPr="00034611" w:rsidRDefault="00034611" w:rsidP="00034611">
      <w:pPr>
        <w:numPr>
          <w:ilvl w:val="0"/>
          <w:numId w:val="11"/>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Participation data is captured via the REC Portal</w:t>
      </w:r>
    </w:p>
    <w:p w14:paraId="5CB9E3AB" w14:textId="77777777" w:rsidR="00034611" w:rsidRPr="00034611" w:rsidRDefault="00034611" w:rsidP="00034611">
      <w:pPr>
        <w:numPr>
          <w:ilvl w:val="0"/>
          <w:numId w:val="11"/>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Code Manager applies defined criteria to determine eligibility</w:t>
      </w:r>
    </w:p>
    <w:p w14:paraId="6260100E"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b/>
          <w:bCs/>
          <w:sz w:val="21"/>
          <w:szCs w:val="21"/>
          <w:lang w:eastAsia="en-GB"/>
          <w14:ligatures w14:val="none"/>
        </w:rPr>
        <w:t>Step 3 – Reward Allocation</w:t>
      </w:r>
    </w:p>
    <w:p w14:paraId="1A54C95F" w14:textId="77777777" w:rsidR="00034611" w:rsidRPr="00034611" w:rsidRDefault="00034611" w:rsidP="00034611">
      <w:pPr>
        <w:numPr>
          <w:ilvl w:val="0"/>
          <w:numId w:val="12"/>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Eligible participants receive non-monetary recognition (e.g. confectionery items of nominal value)</w:t>
      </w:r>
    </w:p>
    <w:p w14:paraId="41BE04A6" w14:textId="77777777" w:rsidR="00034611" w:rsidRPr="00034611" w:rsidRDefault="00034611" w:rsidP="00034611">
      <w:pPr>
        <w:numPr>
          <w:ilvl w:val="0"/>
          <w:numId w:val="12"/>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lastRenderedPageBreak/>
        <w:t>Rewards may be issued on a periodic (e.g. monthly) or milestone basis</w:t>
      </w:r>
    </w:p>
    <w:p w14:paraId="31C5248E"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b/>
          <w:bCs/>
          <w:sz w:val="21"/>
          <w:szCs w:val="21"/>
          <w:lang w:eastAsia="en-GB"/>
          <w14:ligatures w14:val="none"/>
        </w:rPr>
        <w:t>Step 4 – Recording and Reporting</w:t>
      </w:r>
    </w:p>
    <w:p w14:paraId="731823AA" w14:textId="77777777" w:rsidR="00034611" w:rsidRPr="00034611" w:rsidRDefault="00034611" w:rsidP="00034611">
      <w:pPr>
        <w:numPr>
          <w:ilvl w:val="0"/>
          <w:numId w:val="13"/>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A “Reward Eligibility Log” is maintained</w:t>
      </w:r>
    </w:p>
    <w:p w14:paraId="001D26ED" w14:textId="77777777" w:rsidR="00034611" w:rsidRPr="00034611" w:rsidRDefault="00034611" w:rsidP="00034611">
      <w:pPr>
        <w:numPr>
          <w:ilvl w:val="0"/>
          <w:numId w:val="13"/>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Summary reporting provided to REC governance bodies</w:t>
      </w:r>
    </w:p>
    <w:p w14:paraId="796AF071" w14:textId="77777777" w:rsidR="00034611" w:rsidRPr="00034611" w:rsidRDefault="00034611" w:rsidP="00034611">
      <w:pPr>
        <w:spacing w:before="100" w:beforeAutospacing="1" w:after="100" w:afterAutospacing="1" w:line="300" w:lineRule="atLeast"/>
        <w:outlineLvl w:val="2"/>
        <w:rPr>
          <w:rFonts w:ascii="Segoe UI" w:eastAsia="Times New Roman" w:hAnsi="Segoe UI" w:cs="Segoe UI"/>
          <w:b/>
          <w:bCs/>
          <w:sz w:val="27"/>
          <w:szCs w:val="27"/>
          <w:lang w:eastAsia="en-GB"/>
          <w14:ligatures w14:val="none"/>
        </w:rPr>
      </w:pPr>
      <w:r w:rsidRPr="00034611">
        <w:rPr>
          <w:rFonts w:ascii="Segoe UI" w:eastAsia="Times New Roman" w:hAnsi="Segoe UI" w:cs="Segoe UI"/>
          <w:b/>
          <w:bCs/>
          <w:sz w:val="27"/>
          <w:szCs w:val="27"/>
          <w:lang w:eastAsia="en-GB"/>
          <w14:ligatures w14:val="none"/>
        </w:rPr>
        <w:t>5.3 Roles and Responsibilities</w:t>
      </w:r>
    </w:p>
    <w:p w14:paraId="16970E8C" w14:textId="77777777" w:rsidR="00034611" w:rsidRPr="00034611" w:rsidRDefault="00034611" w:rsidP="00034611">
      <w:pPr>
        <w:numPr>
          <w:ilvl w:val="0"/>
          <w:numId w:val="14"/>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b/>
          <w:bCs/>
          <w:sz w:val="21"/>
          <w:szCs w:val="21"/>
          <w:lang w:eastAsia="en-GB"/>
          <w14:ligatures w14:val="none"/>
        </w:rPr>
        <w:t>Code Manager</w:t>
      </w:r>
      <w:r w:rsidRPr="00034611">
        <w:rPr>
          <w:rFonts w:ascii="Segoe UI" w:eastAsia="Times New Roman" w:hAnsi="Segoe UI" w:cs="Segoe UI"/>
          <w:sz w:val="21"/>
          <w:szCs w:val="21"/>
          <w:lang w:eastAsia="en-GB"/>
          <w14:ligatures w14:val="none"/>
        </w:rPr>
        <w:t>: Administers the scheme, assesses eligibility, maintains records</w:t>
      </w:r>
    </w:p>
    <w:p w14:paraId="3C15DD83" w14:textId="77777777" w:rsidR="00034611" w:rsidRPr="00034611" w:rsidRDefault="00034611" w:rsidP="00034611">
      <w:pPr>
        <w:numPr>
          <w:ilvl w:val="0"/>
          <w:numId w:val="14"/>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b/>
          <w:bCs/>
          <w:sz w:val="21"/>
          <w:szCs w:val="21"/>
          <w:lang w:eastAsia="en-GB"/>
          <w14:ligatures w14:val="none"/>
        </w:rPr>
        <w:t>DSP</w:t>
      </w:r>
      <w:r w:rsidRPr="00034611">
        <w:rPr>
          <w:rFonts w:ascii="Segoe UI" w:eastAsia="Times New Roman" w:hAnsi="Segoe UI" w:cs="Segoe UI"/>
          <w:sz w:val="21"/>
          <w:szCs w:val="21"/>
          <w:lang w:eastAsia="en-GB"/>
          <w14:ligatures w14:val="none"/>
        </w:rPr>
        <w:t>: Implements required system enhancements and reporting capability</w:t>
      </w:r>
    </w:p>
    <w:p w14:paraId="2DDFBD76" w14:textId="77777777" w:rsidR="00034611" w:rsidRPr="00034611" w:rsidRDefault="00034611" w:rsidP="00034611">
      <w:pPr>
        <w:numPr>
          <w:ilvl w:val="0"/>
          <w:numId w:val="14"/>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b/>
          <w:bCs/>
          <w:sz w:val="21"/>
          <w:szCs w:val="21"/>
          <w:lang w:eastAsia="en-GB"/>
          <w14:ligatures w14:val="none"/>
        </w:rPr>
        <w:t>REC Governance Bodies</w:t>
      </w:r>
      <w:r w:rsidRPr="00034611">
        <w:rPr>
          <w:rFonts w:ascii="Segoe UI" w:eastAsia="Times New Roman" w:hAnsi="Segoe UI" w:cs="Segoe UI"/>
          <w:sz w:val="21"/>
          <w:szCs w:val="21"/>
          <w:lang w:eastAsia="en-GB"/>
          <w14:ligatures w14:val="none"/>
        </w:rPr>
        <w:t>: Provide oversight and periodic review</w:t>
      </w:r>
    </w:p>
    <w:p w14:paraId="7B742DA8" w14:textId="77777777" w:rsidR="00034611" w:rsidRPr="00034611" w:rsidRDefault="00034611" w:rsidP="00034611">
      <w:pPr>
        <w:spacing w:before="100" w:beforeAutospacing="1" w:after="100" w:afterAutospacing="1" w:line="300" w:lineRule="atLeast"/>
        <w:outlineLvl w:val="2"/>
        <w:rPr>
          <w:rFonts w:ascii="Segoe UI" w:eastAsia="Times New Roman" w:hAnsi="Segoe UI" w:cs="Segoe UI"/>
          <w:b/>
          <w:bCs/>
          <w:sz w:val="27"/>
          <w:szCs w:val="27"/>
          <w:lang w:eastAsia="en-GB"/>
          <w14:ligatures w14:val="none"/>
        </w:rPr>
      </w:pPr>
      <w:r w:rsidRPr="00034611">
        <w:rPr>
          <w:rFonts w:ascii="Segoe UI" w:eastAsia="Times New Roman" w:hAnsi="Segoe UI" w:cs="Segoe UI"/>
          <w:b/>
          <w:bCs/>
          <w:sz w:val="27"/>
          <w:szCs w:val="27"/>
          <w:lang w:eastAsia="en-GB"/>
          <w14:ligatures w14:val="none"/>
        </w:rPr>
        <w:t>5.4 Systems and Data</w:t>
      </w:r>
    </w:p>
    <w:p w14:paraId="33088569" w14:textId="77777777" w:rsidR="00034611" w:rsidRPr="00034611" w:rsidRDefault="00034611" w:rsidP="00034611">
      <w:pPr>
        <w:numPr>
          <w:ilvl w:val="0"/>
          <w:numId w:val="15"/>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Enhancements to the REC Portal to:</w:t>
      </w:r>
    </w:p>
    <w:p w14:paraId="68F2DEE4" w14:textId="77777777" w:rsidR="00034611" w:rsidRPr="00034611" w:rsidRDefault="00034611" w:rsidP="00034611">
      <w:pPr>
        <w:numPr>
          <w:ilvl w:val="1"/>
          <w:numId w:val="15"/>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Capture participation metrics</w:t>
      </w:r>
    </w:p>
    <w:p w14:paraId="485DB130" w14:textId="77777777" w:rsidR="00034611" w:rsidRPr="00034611" w:rsidRDefault="00034611" w:rsidP="00034611">
      <w:pPr>
        <w:numPr>
          <w:ilvl w:val="1"/>
          <w:numId w:val="15"/>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Record reward outcomes</w:t>
      </w:r>
    </w:p>
    <w:p w14:paraId="4D63488B" w14:textId="77777777" w:rsidR="00034611" w:rsidRPr="00034611" w:rsidRDefault="00034611" w:rsidP="00034611">
      <w:pPr>
        <w:numPr>
          <w:ilvl w:val="1"/>
          <w:numId w:val="15"/>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Trigger notifications</w:t>
      </w:r>
    </w:p>
    <w:p w14:paraId="74E2C89F" w14:textId="77777777" w:rsidR="00034611" w:rsidRPr="00034611" w:rsidRDefault="00034611" w:rsidP="00034611">
      <w:pPr>
        <w:numPr>
          <w:ilvl w:val="0"/>
          <w:numId w:val="15"/>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Data inputs include:</w:t>
      </w:r>
    </w:p>
    <w:p w14:paraId="3B376A95" w14:textId="77777777" w:rsidR="00034611" w:rsidRPr="00034611" w:rsidRDefault="00034611" w:rsidP="00034611">
      <w:pPr>
        <w:numPr>
          <w:ilvl w:val="1"/>
          <w:numId w:val="15"/>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Submission timestamps</w:t>
      </w:r>
    </w:p>
    <w:p w14:paraId="5800A27B" w14:textId="77777777" w:rsidR="00034611" w:rsidRPr="00034611" w:rsidRDefault="00034611" w:rsidP="00034611">
      <w:pPr>
        <w:numPr>
          <w:ilvl w:val="1"/>
          <w:numId w:val="15"/>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Attendance records</w:t>
      </w:r>
    </w:p>
    <w:p w14:paraId="2B66260C" w14:textId="77777777" w:rsidR="00034611" w:rsidRPr="00034611" w:rsidRDefault="00034611" w:rsidP="00034611">
      <w:pPr>
        <w:numPr>
          <w:ilvl w:val="1"/>
          <w:numId w:val="15"/>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Qualitative assessment inputs</w:t>
      </w:r>
    </w:p>
    <w:p w14:paraId="08CE5A47" w14:textId="77777777" w:rsidR="00034611" w:rsidRPr="00034611" w:rsidRDefault="00034611" w:rsidP="00034611">
      <w:pPr>
        <w:spacing w:before="100" w:beforeAutospacing="1" w:after="100" w:afterAutospacing="1" w:line="300" w:lineRule="atLeast"/>
        <w:outlineLvl w:val="2"/>
        <w:rPr>
          <w:rFonts w:ascii="Segoe UI" w:eastAsia="Times New Roman" w:hAnsi="Segoe UI" w:cs="Segoe UI"/>
          <w:b/>
          <w:bCs/>
          <w:sz w:val="27"/>
          <w:szCs w:val="27"/>
          <w:lang w:eastAsia="en-GB"/>
          <w14:ligatures w14:val="none"/>
        </w:rPr>
      </w:pPr>
      <w:r w:rsidRPr="00034611">
        <w:rPr>
          <w:rFonts w:ascii="Segoe UI" w:eastAsia="Times New Roman" w:hAnsi="Segoe UI" w:cs="Segoe UI"/>
          <w:b/>
          <w:bCs/>
          <w:sz w:val="27"/>
          <w:szCs w:val="27"/>
          <w:lang w:eastAsia="en-GB"/>
          <w14:ligatures w14:val="none"/>
        </w:rPr>
        <w:t>5.5 Communications and Timings</w:t>
      </w:r>
    </w:p>
    <w:p w14:paraId="6F6A06F2" w14:textId="77777777" w:rsidR="00034611" w:rsidRPr="00034611" w:rsidRDefault="00034611" w:rsidP="00034611">
      <w:pPr>
        <w:numPr>
          <w:ilvl w:val="0"/>
          <w:numId w:val="16"/>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Automated notifications issued to participants upon eligibility</w:t>
      </w:r>
    </w:p>
    <w:p w14:paraId="519951BF" w14:textId="77777777" w:rsidR="00034611" w:rsidRPr="00034611" w:rsidRDefault="00034611" w:rsidP="00034611">
      <w:pPr>
        <w:numPr>
          <w:ilvl w:val="0"/>
          <w:numId w:val="16"/>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Regular reporting cycle aligned with existing governance cadence</w:t>
      </w:r>
    </w:p>
    <w:p w14:paraId="54217B88" w14:textId="478230D0" w:rsidR="00034611" w:rsidRPr="00034611" w:rsidRDefault="00034611" w:rsidP="00034611">
      <w:pPr>
        <w:numPr>
          <w:ilvl w:val="0"/>
          <w:numId w:val="16"/>
        </w:num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Periodic review to ensure continued effectiveness</w:t>
      </w:r>
    </w:p>
    <w:p w14:paraId="238CF87C" w14:textId="77777777" w:rsidR="00034611" w:rsidRPr="00034611" w:rsidRDefault="00034611" w:rsidP="00034611">
      <w:pPr>
        <w:spacing w:before="100" w:beforeAutospacing="1" w:after="100" w:afterAutospacing="1" w:line="300" w:lineRule="atLeast"/>
        <w:outlineLvl w:val="1"/>
        <w:rPr>
          <w:rFonts w:ascii="Segoe UI" w:eastAsia="Times New Roman" w:hAnsi="Segoe UI" w:cs="Segoe UI"/>
          <w:b/>
          <w:bCs/>
          <w:sz w:val="36"/>
          <w:szCs w:val="36"/>
          <w:lang w:eastAsia="en-GB"/>
          <w14:ligatures w14:val="none"/>
        </w:rPr>
      </w:pPr>
      <w:r w:rsidRPr="00034611">
        <w:rPr>
          <w:rFonts w:ascii="Segoe UI" w:eastAsia="Times New Roman" w:hAnsi="Segoe UI" w:cs="Segoe UI"/>
          <w:b/>
          <w:bCs/>
          <w:sz w:val="36"/>
          <w:szCs w:val="36"/>
          <w:lang w:eastAsia="en-GB"/>
          <w14:ligatures w14:val="none"/>
        </w:rPr>
        <w:t>6. Consumer Impact</w:t>
      </w:r>
    </w:p>
    <w:p w14:paraId="722582FD" w14:textId="77777777" w:rsidR="00034611" w:rsidRPr="00034611" w:rsidRDefault="00034611" w:rsidP="00034611">
      <w:pPr>
        <w:spacing w:before="100" w:beforeAutospacing="1" w:after="100" w:afterAutospacing="1" w:line="300" w:lineRule="atLeast"/>
        <w:outlineLvl w:val="2"/>
        <w:rPr>
          <w:rFonts w:ascii="Segoe UI" w:eastAsia="Times New Roman" w:hAnsi="Segoe UI" w:cs="Segoe UI"/>
          <w:b/>
          <w:bCs/>
          <w:sz w:val="27"/>
          <w:szCs w:val="27"/>
          <w:lang w:eastAsia="en-GB"/>
          <w14:ligatures w14:val="none"/>
        </w:rPr>
      </w:pPr>
      <w:r w:rsidRPr="00034611">
        <w:rPr>
          <w:rFonts w:ascii="Segoe UI" w:eastAsia="Times New Roman" w:hAnsi="Segoe UI" w:cs="Segoe UI"/>
          <w:b/>
          <w:bCs/>
          <w:sz w:val="27"/>
          <w:szCs w:val="27"/>
          <w:lang w:eastAsia="en-GB"/>
          <w14:ligatures w14:val="none"/>
        </w:rPr>
        <w:t>Current Consumer Experience</w:t>
      </w:r>
    </w:p>
    <w:p w14:paraId="241F0ADD"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Consumers are indirectly impacted by the effectiveness of the REC change process. Delayed or limited stakeholder engagement can slow the implementation of improvements, resulting in deferred consumer benefits and reduced responsiveness to evolving needs.</w:t>
      </w:r>
    </w:p>
    <w:p w14:paraId="55F089F0" w14:textId="77777777" w:rsidR="00034611" w:rsidRPr="00034611" w:rsidRDefault="00034611" w:rsidP="00034611">
      <w:pPr>
        <w:spacing w:before="100" w:beforeAutospacing="1" w:after="100" w:afterAutospacing="1" w:line="300" w:lineRule="atLeast"/>
        <w:outlineLvl w:val="2"/>
        <w:rPr>
          <w:rFonts w:ascii="Segoe UI" w:eastAsia="Times New Roman" w:hAnsi="Segoe UI" w:cs="Segoe UI"/>
          <w:b/>
          <w:bCs/>
          <w:sz w:val="27"/>
          <w:szCs w:val="27"/>
          <w:lang w:eastAsia="en-GB"/>
          <w14:ligatures w14:val="none"/>
        </w:rPr>
      </w:pPr>
      <w:r w:rsidRPr="00034611">
        <w:rPr>
          <w:rFonts w:ascii="Segoe UI" w:eastAsia="Times New Roman" w:hAnsi="Segoe UI" w:cs="Segoe UI"/>
          <w:b/>
          <w:bCs/>
          <w:sz w:val="27"/>
          <w:szCs w:val="27"/>
          <w:lang w:eastAsia="en-GB"/>
          <w14:ligatures w14:val="none"/>
        </w:rPr>
        <w:t>Future Consumer Experience</w:t>
      </w:r>
    </w:p>
    <w:p w14:paraId="03FDD79F" w14:textId="1833688F"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lastRenderedPageBreak/>
        <w:t xml:space="preserve">Improved stakeholder engagement is expected to support faster and higher-quality change delivery, leading to </w:t>
      </w:r>
      <w:proofErr w:type="gramStart"/>
      <w:r w:rsidRPr="00034611">
        <w:rPr>
          <w:rFonts w:ascii="Segoe UI" w:eastAsia="Times New Roman" w:hAnsi="Segoe UI" w:cs="Segoe UI"/>
          <w:sz w:val="21"/>
          <w:szCs w:val="21"/>
          <w:lang w:eastAsia="en-GB"/>
          <w14:ligatures w14:val="none"/>
        </w:rPr>
        <w:t>more timely</w:t>
      </w:r>
      <w:proofErr w:type="gramEnd"/>
      <w:r w:rsidRPr="00034611">
        <w:rPr>
          <w:rFonts w:ascii="Segoe UI" w:eastAsia="Times New Roman" w:hAnsi="Segoe UI" w:cs="Segoe UI"/>
          <w:sz w:val="21"/>
          <w:szCs w:val="21"/>
          <w:lang w:eastAsia="en-GB"/>
          <w14:ligatures w14:val="none"/>
        </w:rPr>
        <w:t xml:space="preserve"> implementation of consumer-facing improvements. While modest, this effect is positive, contributing to improved service quality and responsiveness across the retail energy market.</w:t>
      </w:r>
    </w:p>
    <w:p w14:paraId="3C45926E" w14:textId="77777777" w:rsidR="00034611" w:rsidRPr="00034611" w:rsidRDefault="00034611" w:rsidP="00034611">
      <w:pPr>
        <w:spacing w:before="100" w:beforeAutospacing="1" w:after="100" w:afterAutospacing="1" w:line="300" w:lineRule="atLeast"/>
        <w:outlineLvl w:val="1"/>
        <w:rPr>
          <w:rFonts w:ascii="Segoe UI" w:eastAsia="Times New Roman" w:hAnsi="Segoe UI" w:cs="Segoe UI"/>
          <w:b/>
          <w:bCs/>
          <w:sz w:val="36"/>
          <w:szCs w:val="36"/>
          <w:lang w:eastAsia="en-GB"/>
          <w14:ligatures w14:val="none"/>
        </w:rPr>
      </w:pPr>
      <w:r w:rsidRPr="00034611">
        <w:rPr>
          <w:rFonts w:ascii="Segoe UI" w:eastAsia="Times New Roman" w:hAnsi="Segoe UI" w:cs="Segoe UI"/>
          <w:b/>
          <w:bCs/>
          <w:sz w:val="36"/>
          <w:szCs w:val="36"/>
          <w:lang w:eastAsia="en-GB"/>
          <w14:ligatures w14:val="none"/>
        </w:rPr>
        <w:t>7. Impact on the REC Mission</w:t>
      </w:r>
    </w:p>
    <w:p w14:paraId="540F4B1E"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The proposed change supports the REC’s mission of delivering an efficient, consumer-focused, and collaborative retail energy market by enhancing stakeholder engagement in a way that is both accessible and sustainable.</w:t>
      </w:r>
    </w:p>
    <w:p w14:paraId="69C1B0D6"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While the use of confectionery-based incentives is intentionally informal, it reflects a broader recognition that effective governance is not solely procedural but also behavioural. By introducing a light-touch, human-centred mechanism to encourage participation, the change demonstrates that even small interventions—whether process improvements or the occasional biscuit—can meaningfully improve collaboration.</w:t>
      </w:r>
    </w:p>
    <w:p w14:paraId="0102CAA5" w14:textId="33695D36"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 xml:space="preserve">In doing so, the change reinforces the principle that good governance can be both robust and engaging, ultimately supporting better outcomes for consumers and the </w:t>
      </w:r>
      <w:proofErr w:type="gramStart"/>
      <w:r w:rsidRPr="00034611">
        <w:rPr>
          <w:rFonts w:ascii="Segoe UI" w:eastAsia="Times New Roman" w:hAnsi="Segoe UI" w:cs="Segoe UI"/>
          <w:sz w:val="21"/>
          <w:szCs w:val="21"/>
          <w:lang w:eastAsia="en-GB"/>
          <w14:ligatures w14:val="none"/>
        </w:rPr>
        <w:t>market as a whole</w:t>
      </w:r>
      <w:proofErr w:type="gramEnd"/>
      <w:r w:rsidRPr="00034611">
        <w:rPr>
          <w:rFonts w:ascii="Segoe UI" w:eastAsia="Times New Roman" w:hAnsi="Segoe UI" w:cs="Segoe UI"/>
          <w:sz w:val="21"/>
          <w:szCs w:val="21"/>
          <w:lang w:eastAsia="en-GB"/>
          <w14:ligatures w14:val="none"/>
        </w:rPr>
        <w:t>.</w:t>
      </w:r>
    </w:p>
    <w:p w14:paraId="6324CE37" w14:textId="77777777" w:rsidR="00034611" w:rsidRPr="00034611" w:rsidRDefault="00034611" w:rsidP="00034611">
      <w:pPr>
        <w:spacing w:before="100" w:beforeAutospacing="1" w:after="100" w:afterAutospacing="1" w:line="300" w:lineRule="atLeast"/>
        <w:outlineLvl w:val="1"/>
        <w:rPr>
          <w:rFonts w:ascii="Segoe UI" w:eastAsia="Times New Roman" w:hAnsi="Segoe UI" w:cs="Segoe UI"/>
          <w:b/>
          <w:bCs/>
          <w:sz w:val="36"/>
          <w:szCs w:val="36"/>
          <w:lang w:eastAsia="en-GB"/>
          <w14:ligatures w14:val="none"/>
        </w:rPr>
      </w:pPr>
      <w:r w:rsidRPr="00034611">
        <w:rPr>
          <w:rFonts w:ascii="Segoe UI" w:eastAsia="Times New Roman" w:hAnsi="Segoe UI" w:cs="Segoe UI"/>
          <w:b/>
          <w:bCs/>
          <w:sz w:val="36"/>
          <w:szCs w:val="36"/>
          <w:lang w:eastAsia="en-GB"/>
          <w14:ligatures w14:val="none"/>
        </w:rPr>
        <w:t>8. Conclusion and Recommendation</w:t>
      </w:r>
    </w:p>
    <w:p w14:paraId="16080F9E"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This change introduces a proportionate, transparent, and low-cost enhancement to the REC change process, aimed at improving engagement without altering core governance or decision-making structures. It aligns with REC objectives of efficiency and collaboration while maintaining neutrality and auditability.</w:t>
      </w:r>
    </w:p>
    <w:p w14:paraId="4E4BD419" w14:textId="77777777" w:rsidR="00034611" w:rsidRPr="00034611" w:rsidRDefault="00034611" w:rsidP="00034611">
      <w:pPr>
        <w:spacing w:before="100" w:beforeAutospacing="1" w:after="100" w:afterAutospacing="1" w:line="300" w:lineRule="atLeast"/>
        <w:rPr>
          <w:rFonts w:ascii="Segoe UI" w:eastAsia="Times New Roman" w:hAnsi="Segoe UI" w:cs="Segoe UI"/>
          <w:sz w:val="21"/>
          <w:szCs w:val="21"/>
          <w:lang w:eastAsia="en-GB"/>
          <w14:ligatures w14:val="none"/>
        </w:rPr>
      </w:pPr>
      <w:r w:rsidRPr="00034611">
        <w:rPr>
          <w:rFonts w:ascii="Segoe UI" w:eastAsia="Times New Roman" w:hAnsi="Segoe UI" w:cs="Segoe UI"/>
          <w:sz w:val="21"/>
          <w:szCs w:val="21"/>
          <w:lang w:eastAsia="en-GB"/>
          <w14:ligatures w14:val="none"/>
        </w:rPr>
        <w:t>It is therefore recommended that the change be approved for implementation in a forthcoming REC release, subject to standard governance and oversight arrangements.</w:t>
      </w:r>
    </w:p>
    <w:p w14:paraId="47EB27FA" w14:textId="77777777" w:rsidR="003D5D27" w:rsidRDefault="003D5D27"/>
    <w:sectPr w:rsidR="003D5D27" w:rsidSect="00E90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B32AF"/>
    <w:multiLevelType w:val="multilevel"/>
    <w:tmpl w:val="6034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858A6"/>
    <w:multiLevelType w:val="multilevel"/>
    <w:tmpl w:val="2F24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A74A54"/>
    <w:multiLevelType w:val="multilevel"/>
    <w:tmpl w:val="85E06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F65600"/>
    <w:multiLevelType w:val="multilevel"/>
    <w:tmpl w:val="2A42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C333D2"/>
    <w:multiLevelType w:val="multilevel"/>
    <w:tmpl w:val="7FFC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61683"/>
    <w:multiLevelType w:val="multilevel"/>
    <w:tmpl w:val="86FC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7730E5"/>
    <w:multiLevelType w:val="multilevel"/>
    <w:tmpl w:val="1D16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7C53CA"/>
    <w:multiLevelType w:val="multilevel"/>
    <w:tmpl w:val="6318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3D00B1"/>
    <w:multiLevelType w:val="multilevel"/>
    <w:tmpl w:val="7F1C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4F045C"/>
    <w:multiLevelType w:val="multilevel"/>
    <w:tmpl w:val="BD169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89735C"/>
    <w:multiLevelType w:val="multilevel"/>
    <w:tmpl w:val="E5906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ED514F"/>
    <w:multiLevelType w:val="multilevel"/>
    <w:tmpl w:val="0D3A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9F3D9D"/>
    <w:multiLevelType w:val="multilevel"/>
    <w:tmpl w:val="BB261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BA4E33"/>
    <w:multiLevelType w:val="multilevel"/>
    <w:tmpl w:val="A4F8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061B5E"/>
    <w:multiLevelType w:val="multilevel"/>
    <w:tmpl w:val="34AA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982DBB"/>
    <w:multiLevelType w:val="multilevel"/>
    <w:tmpl w:val="29A60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6181564">
    <w:abstractNumId w:val="2"/>
  </w:num>
  <w:num w:numId="2" w16cid:durableId="504126228">
    <w:abstractNumId w:val="8"/>
  </w:num>
  <w:num w:numId="3" w16cid:durableId="896473676">
    <w:abstractNumId w:val="5"/>
  </w:num>
  <w:num w:numId="4" w16cid:durableId="20589109">
    <w:abstractNumId w:val="0"/>
  </w:num>
  <w:num w:numId="5" w16cid:durableId="1970277357">
    <w:abstractNumId w:val="11"/>
  </w:num>
  <w:num w:numId="6" w16cid:durableId="386925874">
    <w:abstractNumId w:val="3"/>
  </w:num>
  <w:num w:numId="7" w16cid:durableId="969090614">
    <w:abstractNumId w:val="15"/>
  </w:num>
  <w:num w:numId="8" w16cid:durableId="514392297">
    <w:abstractNumId w:val="4"/>
  </w:num>
  <w:num w:numId="9" w16cid:durableId="1876038476">
    <w:abstractNumId w:val="9"/>
  </w:num>
  <w:num w:numId="10" w16cid:durableId="531458007">
    <w:abstractNumId w:val="13"/>
  </w:num>
  <w:num w:numId="11" w16cid:durableId="1004479552">
    <w:abstractNumId w:val="14"/>
  </w:num>
  <w:num w:numId="12" w16cid:durableId="410082363">
    <w:abstractNumId w:val="7"/>
  </w:num>
  <w:num w:numId="13" w16cid:durableId="2107997151">
    <w:abstractNumId w:val="1"/>
  </w:num>
  <w:num w:numId="14" w16cid:durableId="1216743586">
    <w:abstractNumId w:val="10"/>
  </w:num>
  <w:num w:numId="15" w16cid:durableId="134182334">
    <w:abstractNumId w:val="12"/>
  </w:num>
  <w:num w:numId="16" w16cid:durableId="14057642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11"/>
    <w:rsid w:val="00034611"/>
    <w:rsid w:val="003D5D27"/>
    <w:rsid w:val="005E1F25"/>
    <w:rsid w:val="00646F87"/>
    <w:rsid w:val="00DC4BBB"/>
    <w:rsid w:val="00E90F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6DB40"/>
  <w15:chartTrackingRefBased/>
  <w15:docId w15:val="{74597A8D-38A6-4A8B-BE0B-5E792FE8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4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4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6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6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6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6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6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6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6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4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4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4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4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4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4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4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4611"/>
    <w:rPr>
      <w:rFonts w:eastAsiaTheme="majorEastAsia" w:cstheme="majorBidi"/>
      <w:color w:val="272727" w:themeColor="text1" w:themeTint="D8"/>
    </w:rPr>
  </w:style>
  <w:style w:type="paragraph" w:styleId="Title">
    <w:name w:val="Title"/>
    <w:basedOn w:val="Normal"/>
    <w:next w:val="Normal"/>
    <w:link w:val="TitleChar"/>
    <w:uiPriority w:val="10"/>
    <w:qFormat/>
    <w:rsid w:val="00034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46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4611"/>
    <w:pPr>
      <w:spacing w:before="160"/>
      <w:jc w:val="center"/>
    </w:pPr>
    <w:rPr>
      <w:i/>
      <w:iCs/>
      <w:color w:val="404040" w:themeColor="text1" w:themeTint="BF"/>
    </w:rPr>
  </w:style>
  <w:style w:type="character" w:customStyle="1" w:styleId="QuoteChar">
    <w:name w:val="Quote Char"/>
    <w:basedOn w:val="DefaultParagraphFont"/>
    <w:link w:val="Quote"/>
    <w:uiPriority w:val="29"/>
    <w:rsid w:val="00034611"/>
    <w:rPr>
      <w:i/>
      <w:iCs/>
      <w:color w:val="404040" w:themeColor="text1" w:themeTint="BF"/>
    </w:rPr>
  </w:style>
  <w:style w:type="paragraph" w:styleId="ListParagraph">
    <w:name w:val="List Paragraph"/>
    <w:basedOn w:val="Normal"/>
    <w:uiPriority w:val="34"/>
    <w:qFormat/>
    <w:rsid w:val="00034611"/>
    <w:pPr>
      <w:ind w:left="720"/>
      <w:contextualSpacing/>
    </w:pPr>
  </w:style>
  <w:style w:type="character" w:styleId="IntenseEmphasis">
    <w:name w:val="Intense Emphasis"/>
    <w:basedOn w:val="DefaultParagraphFont"/>
    <w:uiPriority w:val="21"/>
    <w:qFormat/>
    <w:rsid w:val="00034611"/>
    <w:rPr>
      <w:i/>
      <w:iCs/>
      <w:color w:val="0F4761" w:themeColor="accent1" w:themeShade="BF"/>
    </w:rPr>
  </w:style>
  <w:style w:type="paragraph" w:styleId="IntenseQuote">
    <w:name w:val="Intense Quote"/>
    <w:basedOn w:val="Normal"/>
    <w:next w:val="Normal"/>
    <w:link w:val="IntenseQuoteChar"/>
    <w:uiPriority w:val="30"/>
    <w:qFormat/>
    <w:rsid w:val="00034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611"/>
    <w:rPr>
      <w:i/>
      <w:iCs/>
      <w:color w:val="0F4761" w:themeColor="accent1" w:themeShade="BF"/>
    </w:rPr>
  </w:style>
  <w:style w:type="character" w:styleId="IntenseReference">
    <w:name w:val="Intense Reference"/>
    <w:basedOn w:val="DefaultParagraphFont"/>
    <w:uiPriority w:val="32"/>
    <w:qFormat/>
    <w:rsid w:val="000346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760c494-6550-44b4-8258-77c175d778b7}" enabled="1" method="Privileged" siteId="{76a2ae5a-9f00-4f6b-95ed-5d33d77c4d6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871</Words>
  <Characters>5695</Characters>
  <Application>Microsoft Office Word</Application>
  <DocSecurity>0</DocSecurity>
  <Lines>106</Lines>
  <Paragraphs>62</Paragraphs>
  <ScaleCrop>false</ScaleCrop>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Brinkley, Neil</dc:creator>
  <cp:keywords/>
  <dc:description/>
  <cp:lastModifiedBy>Brinkley, Neil</cp:lastModifiedBy>
  <cp:revision>1</cp:revision>
  <dcterms:created xsi:type="dcterms:W3CDTF">2026-06-29T10:26:00Z</dcterms:created>
  <dcterms:modified xsi:type="dcterms:W3CDTF">2026-06-29T10:32:00Z</dcterms:modified>
</cp:coreProperties>
</file>