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1"/>
        <w:tblpPr w:leftFromText="180" w:rightFromText="180" w:vertAnchor="page" w:tblpY="3061"/>
        <w:tblW w:w="0" w:type="auto"/>
        <w:tblInd w:w="0" w:type="dxa"/>
        <w:tblLook w:val="04A0" w:firstRow="1" w:lastRow="0" w:firstColumn="1" w:lastColumn="0" w:noHBand="0" w:noVBand="1"/>
      </w:tblPr>
      <w:tblGrid>
        <w:gridCol w:w="9016"/>
      </w:tblGrid>
      <w:tr w:rsidR="008321B4" w:rsidRPr="008321B4" w14:paraId="7A130A13" w14:textId="77777777">
        <w:tc>
          <w:tcPr>
            <w:tcW w:w="9016" w:type="dxa"/>
          </w:tcPr>
          <w:p w14:paraId="54D13CB7" w14:textId="2F08BD1E" w:rsidR="008321B4" w:rsidRPr="008321B4" w:rsidRDefault="008321B4" w:rsidP="00C07D72">
            <w:pPr>
              <w:spacing w:after="480"/>
              <w:rPr>
                <w:rFonts w:eastAsia="Arial" w:cs="Times New Roman"/>
                <w:color w:val="4D8934"/>
                <w:sz w:val="60"/>
                <w:szCs w:val="60"/>
              </w:rPr>
            </w:pPr>
            <w:r w:rsidRPr="008321B4">
              <w:rPr>
                <w:rFonts w:eastAsia="Arial" w:cs="Times New Roman"/>
                <w:noProof/>
                <w:color w:val="4D8934"/>
                <w:sz w:val="60"/>
                <w:szCs w:val="60"/>
              </w:rPr>
              <w:drawing>
                <wp:anchor distT="0" distB="0" distL="114300" distR="114300" simplePos="0" relativeHeight="251658241" behindDoc="1" locked="0" layoutInCell="1" allowOverlap="1" wp14:anchorId="6B03B5C3" wp14:editId="0860DD46">
                  <wp:simplePos x="0" y="0"/>
                  <wp:positionH relativeFrom="column">
                    <wp:posOffset>3703320</wp:posOffset>
                  </wp:positionH>
                  <wp:positionV relativeFrom="page">
                    <wp:posOffset>694690</wp:posOffset>
                  </wp:positionV>
                  <wp:extent cx="5731510" cy="6406515"/>
                  <wp:effectExtent l="0" t="0" r="254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a:extLst>
                              <a:ext uri="{28A0092B-C50C-407E-A947-70E740481C1C}">
                                <a14:useLocalDpi xmlns:a14="http://schemas.microsoft.com/office/drawing/2010/main" val="0"/>
                              </a:ext>
                            </a:extLst>
                          </a:blip>
                          <a:stretch>
                            <a:fillRect/>
                          </a:stretch>
                        </pic:blipFill>
                        <pic:spPr>
                          <a:xfrm>
                            <a:off x="0" y="0"/>
                            <a:ext cx="5731510" cy="6406515"/>
                          </a:xfrm>
                          <a:prstGeom prst="rect">
                            <a:avLst/>
                          </a:prstGeom>
                        </pic:spPr>
                      </pic:pic>
                    </a:graphicData>
                  </a:graphic>
                  <wp14:sizeRelH relativeFrom="page">
                    <wp14:pctWidth>0</wp14:pctWidth>
                  </wp14:sizeRelH>
                  <wp14:sizeRelV relativeFrom="page">
                    <wp14:pctHeight>0</wp14:pctHeight>
                  </wp14:sizeRelV>
                </wp:anchor>
              </w:drawing>
            </w:r>
            <w:r w:rsidR="00C07D72">
              <w:rPr>
                <w:rFonts w:eastAsia="Arial" w:cs="Times New Roman"/>
                <w:color w:val="4D8934"/>
                <w:sz w:val="60"/>
                <w:szCs w:val="60"/>
              </w:rPr>
              <w:t>Erroneous Switch</w:t>
            </w:r>
            <w:r w:rsidR="0039384A">
              <w:rPr>
                <w:rFonts w:eastAsia="Arial" w:cs="Times New Roman"/>
                <w:color w:val="4D8934"/>
                <w:sz w:val="60"/>
                <w:szCs w:val="60"/>
              </w:rPr>
              <w:t xml:space="preserve"> Guidance Document</w:t>
            </w:r>
          </w:p>
        </w:tc>
      </w:tr>
      <w:tr w:rsidR="008321B4" w:rsidRPr="008321B4" w14:paraId="2640F949" w14:textId="77777777">
        <w:trPr>
          <w:trHeight w:val="750"/>
        </w:trPr>
        <w:tc>
          <w:tcPr>
            <w:tcW w:w="9016" w:type="dxa"/>
          </w:tcPr>
          <w:p w14:paraId="477673B0" w14:textId="1A942CAD" w:rsidR="008321B4" w:rsidRPr="008321B4" w:rsidRDefault="008321B4" w:rsidP="008321B4">
            <w:pPr>
              <w:spacing w:after="120"/>
              <w:rPr>
                <w:rFonts w:eastAsia="Arial" w:cs="Times New Roman"/>
                <w:color w:val="4D8934"/>
                <w:sz w:val="28"/>
                <w:szCs w:val="28"/>
              </w:rPr>
            </w:pPr>
          </w:p>
        </w:tc>
      </w:tr>
      <w:tr w:rsidR="008321B4" w:rsidRPr="008321B4" w14:paraId="0C436337" w14:textId="77777777">
        <w:tc>
          <w:tcPr>
            <w:tcW w:w="9016" w:type="dxa"/>
          </w:tcPr>
          <w:p w14:paraId="25A830E6" w14:textId="1FC0F68B" w:rsidR="008321B4" w:rsidRPr="008321B4" w:rsidRDefault="008321B4" w:rsidP="008321B4">
            <w:pPr>
              <w:spacing w:after="120"/>
              <w:rPr>
                <w:rFonts w:eastAsia="Arial" w:cs="Times New Roman"/>
                <w:color w:val="4D8934"/>
                <w:szCs w:val="28"/>
              </w:rPr>
            </w:pPr>
            <w:r>
              <w:rPr>
                <w:rFonts w:eastAsia="Arial" w:cs="Times New Roman"/>
                <w:color w:val="4D8934"/>
                <w:szCs w:val="28"/>
              </w:rPr>
              <w:t xml:space="preserve">Version </w:t>
            </w:r>
            <w:r w:rsidR="00F62E6D">
              <w:rPr>
                <w:rFonts w:eastAsia="Arial" w:cs="Times New Roman"/>
                <w:color w:val="4D8934"/>
                <w:szCs w:val="28"/>
              </w:rPr>
              <w:t>0.</w:t>
            </w:r>
            <w:r w:rsidR="00DB78A2">
              <w:rPr>
                <w:rFonts w:eastAsia="Arial" w:cs="Times New Roman"/>
                <w:color w:val="4D8934"/>
                <w:szCs w:val="28"/>
              </w:rPr>
              <w:t>5</w:t>
            </w:r>
          </w:p>
          <w:p w14:paraId="00EA20CC" w14:textId="68A93256" w:rsidR="009E12B4" w:rsidRPr="008321B4" w:rsidRDefault="00DB78A2" w:rsidP="008321B4">
            <w:pPr>
              <w:spacing w:after="120"/>
              <w:rPr>
                <w:rFonts w:eastAsia="Arial" w:cs="Times New Roman"/>
                <w:color w:val="4D8934"/>
                <w:szCs w:val="28"/>
              </w:rPr>
            </w:pPr>
            <w:r>
              <w:rPr>
                <w:rFonts w:eastAsia="Arial" w:cs="Times New Roman"/>
                <w:color w:val="4D8934"/>
                <w:szCs w:val="28"/>
              </w:rPr>
              <w:t>12 February</w:t>
            </w:r>
            <w:r w:rsidR="00694F59">
              <w:rPr>
                <w:rFonts w:eastAsia="Arial" w:cs="Times New Roman"/>
                <w:color w:val="4D8934"/>
                <w:szCs w:val="28"/>
              </w:rPr>
              <w:t xml:space="preserve"> 2026</w:t>
            </w:r>
          </w:p>
          <w:p w14:paraId="4068B70E" w14:textId="77777777" w:rsidR="008321B4" w:rsidRPr="008321B4" w:rsidRDefault="008321B4" w:rsidP="008321B4">
            <w:pPr>
              <w:spacing w:after="120"/>
              <w:rPr>
                <w:rFonts w:eastAsia="Arial" w:cs="Times New Roman"/>
                <w:color w:val="4D8934"/>
                <w:szCs w:val="28"/>
              </w:rPr>
            </w:pPr>
          </w:p>
        </w:tc>
      </w:tr>
    </w:tbl>
    <w:p w14:paraId="1041E144" w14:textId="77777777" w:rsidR="008321B4" w:rsidRPr="008321B4" w:rsidRDefault="008321B4" w:rsidP="008321B4">
      <w:pPr>
        <w:spacing w:line="360" w:lineRule="auto"/>
        <w:rPr>
          <w:rFonts w:eastAsia="Arial" w:cs="Times New Roman"/>
          <w:color w:val="3C3C3B"/>
          <w:kern w:val="0"/>
          <w:sz w:val="20"/>
          <w14:ligatures w14:val="none"/>
        </w:rPr>
      </w:pPr>
    </w:p>
    <w:p w14:paraId="05D50FA3" w14:textId="5B8BC0F1" w:rsidR="00627BE5" w:rsidRPr="003D54E5" w:rsidRDefault="008321B4" w:rsidP="003D54E5">
      <w:pPr>
        <w:spacing w:after="160" w:line="259" w:lineRule="auto"/>
        <w:rPr>
          <w:rFonts w:eastAsia="Arial" w:cs="Times New Roman"/>
          <w:kern w:val="0"/>
          <w:sz w:val="20"/>
          <w14:ligatures w14:val="none"/>
        </w:rPr>
      </w:pPr>
      <w:r w:rsidRPr="008321B4">
        <w:rPr>
          <w:rFonts w:eastAsia="Arial" w:cs="Times New Roman"/>
          <w:b/>
          <w:noProof/>
          <w:color w:val="9CC978"/>
          <w:kern w:val="0"/>
          <w:sz w:val="40"/>
          <w14:ligatures w14:val="none"/>
        </w:rPr>
        <w:drawing>
          <wp:anchor distT="0" distB="0" distL="114300" distR="114300" simplePos="0" relativeHeight="251658240" behindDoc="0" locked="0" layoutInCell="1" allowOverlap="1" wp14:anchorId="07157B68" wp14:editId="5E2C085D">
            <wp:simplePos x="0" y="0"/>
            <wp:positionH relativeFrom="column">
              <wp:posOffset>-476250</wp:posOffset>
            </wp:positionH>
            <wp:positionV relativeFrom="page">
              <wp:posOffset>8867590</wp:posOffset>
            </wp:positionV>
            <wp:extent cx="2019300" cy="13940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22202" cy="1396013"/>
                    </a:xfrm>
                    <a:prstGeom prst="rect">
                      <a:avLst/>
                    </a:prstGeom>
                  </pic:spPr>
                </pic:pic>
              </a:graphicData>
            </a:graphic>
            <wp14:sizeRelH relativeFrom="margin">
              <wp14:pctWidth>0</wp14:pctWidth>
            </wp14:sizeRelH>
            <wp14:sizeRelV relativeFrom="margin">
              <wp14:pctHeight>0</wp14:pctHeight>
            </wp14:sizeRelV>
          </wp:anchor>
        </w:drawing>
      </w:r>
      <w:r w:rsidRPr="008321B4">
        <w:rPr>
          <w:rFonts w:eastAsia="Arial" w:cs="Times New Roman"/>
          <w:kern w:val="0"/>
          <w:sz w:val="20"/>
          <w14:ligatures w14:val="none"/>
        </w:rPr>
        <w:br w:type="page"/>
      </w:r>
    </w:p>
    <w:p w14:paraId="77828D92" w14:textId="1B75D6DD" w:rsidR="00627BE5" w:rsidRDefault="00627BE5">
      <w:pPr>
        <w:rPr>
          <w:rFonts w:eastAsia="Arial" w:cs="Times New Roman"/>
          <w:color w:val="4D8934"/>
          <w:kern w:val="0"/>
          <w:sz w:val="20"/>
          <w14:ligatures w14:val="none"/>
        </w:rPr>
      </w:pPr>
    </w:p>
    <w:p w14:paraId="4F57FF31" w14:textId="373654B4" w:rsidR="008321B4" w:rsidRDefault="00627BE5" w:rsidP="008321B4">
      <w:pPr>
        <w:rPr>
          <w:i/>
          <w:iCs/>
        </w:rPr>
      </w:pPr>
      <w:r>
        <w:rPr>
          <w:i/>
          <w:iCs/>
        </w:rPr>
        <w:t xml:space="preserve">Change History </w:t>
      </w:r>
    </w:p>
    <w:p w14:paraId="0434F6BF" w14:textId="77777777" w:rsidR="00627BE5" w:rsidRPr="00627BE5" w:rsidRDefault="00627BE5" w:rsidP="008321B4">
      <w:pPr>
        <w:rPr>
          <w:i/>
          <w:iCs/>
        </w:rPr>
      </w:pPr>
    </w:p>
    <w:tbl>
      <w:tblPr>
        <w:tblW w:w="0" w:type="auto"/>
        <w:tblCellMar>
          <w:left w:w="0" w:type="dxa"/>
          <w:right w:w="0" w:type="dxa"/>
        </w:tblCellMar>
        <w:tblLook w:val="04A0" w:firstRow="1" w:lastRow="0" w:firstColumn="1" w:lastColumn="0" w:noHBand="0" w:noVBand="1"/>
      </w:tblPr>
      <w:tblGrid>
        <w:gridCol w:w="2120"/>
        <w:gridCol w:w="2407"/>
        <w:gridCol w:w="4479"/>
      </w:tblGrid>
      <w:tr w:rsidR="00C04695" w:rsidRPr="00C04695" w14:paraId="30071E67" w14:textId="77777777" w:rsidTr="003328D6">
        <w:tc>
          <w:tcPr>
            <w:tcW w:w="21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4DEE88" w14:textId="77777777" w:rsidR="00C04695" w:rsidRPr="00C04695" w:rsidRDefault="00C04695" w:rsidP="00C04695">
            <w:pPr>
              <w:rPr>
                <w:b/>
                <w:bCs/>
              </w:rPr>
            </w:pPr>
            <w:r w:rsidRPr="00C04695">
              <w:rPr>
                <w:b/>
                <w:bCs/>
              </w:rPr>
              <w:t>Version Number</w:t>
            </w:r>
          </w:p>
        </w:tc>
        <w:tc>
          <w:tcPr>
            <w:tcW w:w="24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4B3F2" w14:textId="77777777" w:rsidR="00C04695" w:rsidRPr="00C04695" w:rsidRDefault="00C04695" w:rsidP="00C04695">
            <w:pPr>
              <w:rPr>
                <w:b/>
                <w:bCs/>
              </w:rPr>
            </w:pPr>
            <w:r w:rsidRPr="00C04695">
              <w:rPr>
                <w:b/>
                <w:bCs/>
              </w:rPr>
              <w:t>Date Published</w:t>
            </w:r>
          </w:p>
        </w:tc>
        <w:tc>
          <w:tcPr>
            <w:tcW w:w="44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380AE6" w14:textId="77777777" w:rsidR="00C04695" w:rsidRPr="00C04695" w:rsidRDefault="00C04695" w:rsidP="00C04695">
            <w:pPr>
              <w:rPr>
                <w:b/>
                <w:bCs/>
              </w:rPr>
            </w:pPr>
            <w:r w:rsidRPr="00C04695">
              <w:rPr>
                <w:b/>
                <w:bCs/>
              </w:rPr>
              <w:t>Reason for Change / Updates Made</w:t>
            </w:r>
          </w:p>
        </w:tc>
      </w:tr>
      <w:tr w:rsidR="00C04695" w:rsidRPr="00C04695" w14:paraId="18FDDD2A" w14:textId="77777777" w:rsidTr="003328D6">
        <w:tc>
          <w:tcPr>
            <w:tcW w:w="21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263135" w14:textId="30ACF7CE" w:rsidR="00C04695" w:rsidRPr="00C04695" w:rsidRDefault="00C04695" w:rsidP="00C04695">
            <w:r w:rsidRPr="00C04695">
              <w:t>V</w:t>
            </w:r>
            <w:r w:rsidR="00B051B2">
              <w:t>0.1</w:t>
            </w:r>
          </w:p>
        </w:tc>
        <w:tc>
          <w:tcPr>
            <w:tcW w:w="2407" w:type="dxa"/>
            <w:tcBorders>
              <w:top w:val="nil"/>
              <w:left w:val="nil"/>
              <w:bottom w:val="single" w:sz="8" w:space="0" w:color="auto"/>
              <w:right w:val="single" w:sz="8" w:space="0" w:color="auto"/>
            </w:tcBorders>
            <w:tcMar>
              <w:top w:w="0" w:type="dxa"/>
              <w:left w:w="108" w:type="dxa"/>
              <w:bottom w:w="0" w:type="dxa"/>
              <w:right w:w="108" w:type="dxa"/>
            </w:tcMar>
          </w:tcPr>
          <w:p w14:paraId="003A854A" w14:textId="67B11C3D" w:rsidR="00C04695" w:rsidRPr="00C04695" w:rsidRDefault="00B051B2" w:rsidP="00C04695">
            <w:r>
              <w:t>30 October 2025</w:t>
            </w:r>
          </w:p>
        </w:tc>
        <w:tc>
          <w:tcPr>
            <w:tcW w:w="4479" w:type="dxa"/>
            <w:tcBorders>
              <w:top w:val="nil"/>
              <w:left w:val="nil"/>
              <w:bottom w:val="single" w:sz="8" w:space="0" w:color="auto"/>
              <w:right w:val="single" w:sz="8" w:space="0" w:color="auto"/>
            </w:tcBorders>
            <w:tcMar>
              <w:top w:w="0" w:type="dxa"/>
              <w:left w:w="108" w:type="dxa"/>
              <w:bottom w:w="0" w:type="dxa"/>
              <w:right w:w="108" w:type="dxa"/>
            </w:tcMar>
          </w:tcPr>
          <w:p w14:paraId="601822DA" w14:textId="338A50D4" w:rsidR="00C04695" w:rsidRPr="00C04695" w:rsidRDefault="00B051B2" w:rsidP="00C04695">
            <w:r>
              <w:t>Initial Draft to be shared with I0237 Working Group.</w:t>
            </w:r>
          </w:p>
        </w:tc>
      </w:tr>
      <w:tr w:rsidR="00C04695" w:rsidRPr="00C04695" w14:paraId="3D7B22C1" w14:textId="77777777" w:rsidTr="003328D6">
        <w:tc>
          <w:tcPr>
            <w:tcW w:w="212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E1A5F8F" w14:textId="0EFA011D" w:rsidR="00C04695" w:rsidRPr="00EA5DA2" w:rsidRDefault="00801C59" w:rsidP="00C04695">
            <w:r w:rsidRPr="00EA5DA2">
              <w:t>V</w:t>
            </w:r>
            <w:r w:rsidR="00FC14EE" w:rsidRPr="00EA5DA2">
              <w:t>0.2</w:t>
            </w:r>
          </w:p>
        </w:tc>
        <w:tc>
          <w:tcPr>
            <w:tcW w:w="2407" w:type="dxa"/>
            <w:tcBorders>
              <w:top w:val="nil"/>
              <w:left w:val="nil"/>
              <w:bottom w:val="single" w:sz="4" w:space="0" w:color="auto"/>
              <w:right w:val="single" w:sz="8" w:space="0" w:color="auto"/>
            </w:tcBorders>
            <w:tcMar>
              <w:top w:w="0" w:type="dxa"/>
              <w:left w:w="108" w:type="dxa"/>
              <w:bottom w:w="0" w:type="dxa"/>
              <w:right w:w="108" w:type="dxa"/>
            </w:tcMar>
          </w:tcPr>
          <w:p w14:paraId="34D0DFD8" w14:textId="251A70EA" w:rsidR="00C04695" w:rsidRPr="00EA5DA2" w:rsidRDefault="00801C59" w:rsidP="00C967DD">
            <w:r w:rsidRPr="00EA5DA2">
              <w:t>0</w:t>
            </w:r>
            <w:r w:rsidR="00254F16" w:rsidRPr="00EA5DA2">
              <w:t>3</w:t>
            </w:r>
            <w:r w:rsidRPr="00EA5DA2">
              <w:t xml:space="preserve"> December 2025</w:t>
            </w:r>
          </w:p>
        </w:tc>
        <w:tc>
          <w:tcPr>
            <w:tcW w:w="4479" w:type="dxa"/>
            <w:tcBorders>
              <w:top w:val="nil"/>
              <w:left w:val="nil"/>
              <w:bottom w:val="single" w:sz="4" w:space="0" w:color="auto"/>
              <w:right w:val="single" w:sz="8" w:space="0" w:color="auto"/>
            </w:tcBorders>
            <w:tcMar>
              <w:top w:w="0" w:type="dxa"/>
              <w:left w:w="108" w:type="dxa"/>
              <w:bottom w:w="0" w:type="dxa"/>
              <w:right w:w="108" w:type="dxa"/>
            </w:tcMar>
          </w:tcPr>
          <w:p w14:paraId="4C2834B7" w14:textId="32178220" w:rsidR="00C04695" w:rsidRPr="00EA5DA2" w:rsidRDefault="00496F3E" w:rsidP="00C04695">
            <w:r w:rsidRPr="00EA5DA2">
              <w:t>Updated and published following feedback at the I0237 Working Group on 06/11/2025</w:t>
            </w:r>
          </w:p>
        </w:tc>
      </w:tr>
      <w:tr w:rsidR="003328D6" w:rsidRPr="00C04695" w14:paraId="349E024C" w14:textId="77777777" w:rsidTr="003328D6">
        <w:tc>
          <w:tcPr>
            <w:tcW w:w="2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20CDE7" w14:textId="6E5E836B" w:rsidR="003328D6" w:rsidRPr="00EA5DA2" w:rsidRDefault="003328D6" w:rsidP="00C04695">
            <w:r>
              <w:t>V0.3</w:t>
            </w:r>
          </w:p>
        </w:tc>
        <w:tc>
          <w:tcPr>
            <w:tcW w:w="24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87BC9C" w14:textId="6C0CE0C8" w:rsidR="003328D6" w:rsidRPr="00EA5DA2" w:rsidRDefault="003328D6" w:rsidP="00C967DD">
            <w:r>
              <w:t>14 Jan</w:t>
            </w:r>
            <w:r w:rsidR="00543F2E">
              <w:t>uary 2026</w:t>
            </w:r>
          </w:p>
        </w:tc>
        <w:tc>
          <w:tcPr>
            <w:tcW w:w="44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5B6E2A" w14:textId="10499966" w:rsidR="003328D6" w:rsidRPr="00EA5DA2" w:rsidRDefault="00543F2E" w:rsidP="00C04695">
            <w:r>
              <w:t xml:space="preserve">Updated to include domestic rejection </w:t>
            </w:r>
            <w:r w:rsidR="003B7969">
              <w:t>scenarios</w:t>
            </w:r>
          </w:p>
        </w:tc>
      </w:tr>
      <w:tr w:rsidR="00CC2FD6" w:rsidRPr="00C04695" w14:paraId="316F2A44" w14:textId="77777777" w:rsidTr="003328D6">
        <w:tc>
          <w:tcPr>
            <w:tcW w:w="2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759D2F" w14:textId="533639F2" w:rsidR="00CC2FD6" w:rsidRDefault="00CC2FD6" w:rsidP="00C04695">
            <w:r>
              <w:t>V0.4</w:t>
            </w:r>
          </w:p>
        </w:tc>
        <w:tc>
          <w:tcPr>
            <w:tcW w:w="24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1C0EFF" w14:textId="553EFF42" w:rsidR="00CC2FD6" w:rsidRDefault="00CC2FD6" w:rsidP="00C967DD">
            <w:r>
              <w:t>19 January 2026</w:t>
            </w:r>
          </w:p>
        </w:tc>
        <w:tc>
          <w:tcPr>
            <w:tcW w:w="44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78129E" w14:textId="52682C62" w:rsidR="00CC2FD6" w:rsidRDefault="00CC2FD6" w:rsidP="00C04695">
            <w:r>
              <w:t>Updated to include the use of “Technical” ES reason</w:t>
            </w:r>
          </w:p>
        </w:tc>
      </w:tr>
      <w:tr w:rsidR="004418C2" w:rsidRPr="00C04695" w14:paraId="49AC9967" w14:textId="77777777" w:rsidTr="003328D6">
        <w:tc>
          <w:tcPr>
            <w:tcW w:w="2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C93007" w14:textId="6C75216C" w:rsidR="004418C2" w:rsidRDefault="004418C2" w:rsidP="00C04695">
            <w:r>
              <w:t>V0.5</w:t>
            </w:r>
          </w:p>
        </w:tc>
        <w:tc>
          <w:tcPr>
            <w:tcW w:w="24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445149" w14:textId="3DFCF2EC" w:rsidR="004418C2" w:rsidRDefault="00DB78A2" w:rsidP="00C967DD">
            <w:r>
              <w:t>12</w:t>
            </w:r>
            <w:r w:rsidR="004418C2">
              <w:t xml:space="preserve"> February 2026</w:t>
            </w:r>
          </w:p>
        </w:tc>
        <w:tc>
          <w:tcPr>
            <w:tcW w:w="44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EF4811" w14:textId="58720F8B" w:rsidR="004418C2" w:rsidRDefault="004418C2" w:rsidP="00C04695">
            <w:r>
              <w:t xml:space="preserve">Updated to include </w:t>
            </w:r>
            <w:r w:rsidR="00433B96">
              <w:t>summary of escalations process and peer review</w:t>
            </w:r>
          </w:p>
        </w:tc>
      </w:tr>
    </w:tbl>
    <w:p w14:paraId="5EA517D2" w14:textId="77777777" w:rsidR="008321B4" w:rsidRDefault="008321B4" w:rsidP="00C635E8"/>
    <w:p w14:paraId="65944EAE" w14:textId="089E2B8E" w:rsidR="00E126DD" w:rsidRDefault="00E126DD" w:rsidP="00C635E8"/>
    <w:p w14:paraId="3EF126BC" w14:textId="5A0C57E6" w:rsidR="002726E4" w:rsidRDefault="00DE23B4" w:rsidP="00A367E0">
      <w:pPr>
        <w:pStyle w:val="Heading1"/>
        <w:pageBreakBefore/>
        <w:numPr>
          <w:ilvl w:val="0"/>
          <w:numId w:val="17"/>
        </w:numPr>
        <w:spacing w:line="276" w:lineRule="auto"/>
      </w:pPr>
      <w:bookmarkStart w:id="0" w:name="_Toc215664526"/>
      <w:r>
        <w:t>Introduction</w:t>
      </w:r>
      <w:bookmarkEnd w:id="0"/>
    </w:p>
    <w:p w14:paraId="3C49367E" w14:textId="379FC2C6" w:rsidR="00847ED1" w:rsidRDefault="009E137A" w:rsidP="00EA5DA2">
      <w:pPr>
        <w:pStyle w:val="NoSpacing"/>
        <w:spacing w:line="276" w:lineRule="auto"/>
        <w:rPr>
          <w:rFonts w:ascii="Arial" w:hAnsi="Arial" w:cs="Arial"/>
        </w:rPr>
      </w:pPr>
      <w:r>
        <w:rPr>
          <w:rFonts w:ascii="Arial" w:hAnsi="Arial" w:cs="Arial"/>
        </w:rPr>
        <w:t xml:space="preserve">This document has been drawn up following discussion and agreement at the I0237 </w:t>
      </w:r>
      <w:r w:rsidR="002D2900">
        <w:rPr>
          <w:rFonts w:ascii="Arial" w:hAnsi="Arial" w:cs="Arial"/>
        </w:rPr>
        <w:t>Working Group. It is intended to support the Erroneous Switch</w:t>
      </w:r>
      <w:r w:rsidR="00847ED1">
        <w:rPr>
          <w:rFonts w:ascii="Arial" w:hAnsi="Arial" w:cs="Arial"/>
        </w:rPr>
        <w:t xml:space="preserve"> (ES)</w:t>
      </w:r>
      <w:r w:rsidR="002D2900">
        <w:rPr>
          <w:rFonts w:ascii="Arial" w:hAnsi="Arial" w:cs="Arial"/>
        </w:rPr>
        <w:t xml:space="preserve"> process as set out in </w:t>
      </w:r>
      <w:hyperlink r:id="rId15" w:history="1">
        <w:r w:rsidR="002D2900" w:rsidRPr="00AD5F06">
          <w:rPr>
            <w:rStyle w:val="Hyperlink"/>
            <w:rFonts w:ascii="Arial" w:hAnsi="Arial" w:cs="Arial"/>
          </w:rPr>
          <w:t>Schedule 30</w:t>
        </w:r>
        <w:r w:rsidR="0040152E" w:rsidRPr="00AD5F06">
          <w:rPr>
            <w:rStyle w:val="Hyperlink"/>
            <w:rFonts w:ascii="Arial" w:hAnsi="Arial" w:cs="Arial"/>
          </w:rPr>
          <w:t xml:space="preserve"> </w:t>
        </w:r>
        <w:r w:rsidR="00AD5F06" w:rsidRPr="00AD5F06">
          <w:rPr>
            <w:rStyle w:val="Hyperlink"/>
            <w:rFonts w:ascii="Arial" w:hAnsi="Arial" w:cs="Arial"/>
          </w:rPr>
          <w:t>–</w:t>
        </w:r>
        <w:r w:rsidR="0040152E" w:rsidRPr="00AD5F06">
          <w:rPr>
            <w:rStyle w:val="Hyperlink"/>
            <w:rFonts w:ascii="Arial" w:hAnsi="Arial" w:cs="Arial"/>
          </w:rPr>
          <w:t xml:space="preserve"> </w:t>
        </w:r>
        <w:r w:rsidR="00AD5F06" w:rsidRPr="00AD5F06">
          <w:rPr>
            <w:rStyle w:val="Hyperlink"/>
            <w:rFonts w:ascii="Arial" w:hAnsi="Arial" w:cs="Arial"/>
          </w:rPr>
          <w:t>Resolution of Consumer Facing Switching and Billing Issues</w:t>
        </w:r>
      </w:hyperlink>
      <w:r w:rsidR="005267D2">
        <w:rPr>
          <w:rFonts w:ascii="Arial" w:hAnsi="Arial" w:cs="Arial"/>
        </w:rPr>
        <w:t xml:space="preserve">, providing examples or additional detail that is not appropriate for the </w:t>
      </w:r>
      <w:r w:rsidR="006538D3">
        <w:rPr>
          <w:rFonts w:ascii="Arial" w:hAnsi="Arial" w:cs="Arial"/>
        </w:rPr>
        <w:t xml:space="preserve">REC Main Body and its </w:t>
      </w:r>
      <w:r w:rsidR="005267D2">
        <w:rPr>
          <w:rFonts w:ascii="Arial" w:hAnsi="Arial" w:cs="Arial"/>
        </w:rPr>
        <w:t>Schedule</w:t>
      </w:r>
      <w:r w:rsidR="006538D3">
        <w:rPr>
          <w:rFonts w:ascii="Arial" w:hAnsi="Arial" w:cs="Arial"/>
        </w:rPr>
        <w:t>s</w:t>
      </w:r>
      <w:r w:rsidR="002D2900">
        <w:rPr>
          <w:rFonts w:ascii="Arial" w:hAnsi="Arial" w:cs="Arial"/>
        </w:rPr>
        <w:t xml:space="preserve">.  Each </w:t>
      </w:r>
      <w:r w:rsidR="00D15522">
        <w:rPr>
          <w:rFonts w:ascii="Arial" w:hAnsi="Arial" w:cs="Arial"/>
        </w:rPr>
        <w:t>piece of</w:t>
      </w:r>
      <w:r w:rsidR="002D2900">
        <w:rPr>
          <w:rFonts w:ascii="Arial" w:hAnsi="Arial" w:cs="Arial"/>
        </w:rPr>
        <w:t xml:space="preserve"> </w:t>
      </w:r>
      <w:r w:rsidR="005267D2">
        <w:rPr>
          <w:rFonts w:ascii="Arial" w:hAnsi="Arial" w:cs="Arial"/>
        </w:rPr>
        <w:t>guidance is also published as an individual Wiki article on the REC Portal.</w:t>
      </w:r>
    </w:p>
    <w:p w14:paraId="27236D4F" w14:textId="77777777" w:rsidR="00EA5DA2" w:rsidRDefault="00EA5DA2" w:rsidP="00EA5DA2">
      <w:pPr>
        <w:pStyle w:val="NoSpacing"/>
        <w:spacing w:line="276" w:lineRule="auto"/>
        <w:rPr>
          <w:rFonts w:ascii="Arial" w:hAnsi="Arial" w:cs="Arial"/>
        </w:rPr>
      </w:pPr>
    </w:p>
    <w:p w14:paraId="39779CBD" w14:textId="4325BA95" w:rsidR="00872331" w:rsidRDefault="00872331">
      <w:r>
        <w:br w:type="page"/>
      </w:r>
    </w:p>
    <w:p w14:paraId="5DCEA0F6" w14:textId="63824BE5" w:rsidR="003120AB" w:rsidRDefault="00B051B2" w:rsidP="003120AB">
      <w:pPr>
        <w:pStyle w:val="Heading1"/>
        <w:numPr>
          <w:ilvl w:val="0"/>
          <w:numId w:val="17"/>
        </w:numPr>
      </w:pPr>
      <w:bookmarkStart w:id="1" w:name="_Toc215664527"/>
      <w:r>
        <w:t>Use of Erroneous Switch Flag</w:t>
      </w:r>
      <w:bookmarkEnd w:id="1"/>
    </w:p>
    <w:p w14:paraId="1A08B6A0" w14:textId="7302160A" w:rsidR="00C27B11" w:rsidRDefault="006F443E" w:rsidP="00734413">
      <w:pPr>
        <w:pStyle w:val="NoSpacing"/>
        <w:spacing w:line="276" w:lineRule="auto"/>
        <w:rPr>
          <w:rFonts w:ascii="Arial" w:hAnsi="Arial" w:cs="Arial"/>
        </w:rPr>
      </w:pPr>
      <w:r>
        <w:rPr>
          <w:rFonts w:ascii="Arial" w:hAnsi="Arial" w:cs="Arial"/>
        </w:rPr>
        <w:t xml:space="preserve">The Erroneous Switch flag </w:t>
      </w:r>
      <w:r w:rsidR="000B5F11">
        <w:rPr>
          <w:rFonts w:ascii="Arial" w:hAnsi="Arial" w:cs="Arial"/>
        </w:rPr>
        <w:t xml:space="preserve">indicator </w:t>
      </w:r>
      <w:r w:rsidR="00772F3C">
        <w:rPr>
          <w:rFonts w:ascii="Arial" w:hAnsi="Arial" w:cs="Arial"/>
        </w:rPr>
        <w:t>is a</w:t>
      </w:r>
      <w:r w:rsidR="004C753C">
        <w:rPr>
          <w:rFonts w:ascii="Arial" w:hAnsi="Arial" w:cs="Arial"/>
        </w:rPr>
        <w:t xml:space="preserve"> </w:t>
      </w:r>
      <w:r w:rsidR="004324D4">
        <w:rPr>
          <w:rFonts w:ascii="Arial" w:hAnsi="Arial" w:cs="Arial"/>
        </w:rPr>
        <w:t>mandatory</w:t>
      </w:r>
      <w:r w:rsidR="00772F3C">
        <w:rPr>
          <w:rFonts w:ascii="Arial" w:hAnsi="Arial" w:cs="Arial"/>
        </w:rPr>
        <w:t xml:space="preserve"> </w:t>
      </w:r>
      <w:r w:rsidR="006E6E62">
        <w:rPr>
          <w:rFonts w:ascii="Arial" w:hAnsi="Arial" w:cs="Arial"/>
        </w:rPr>
        <w:t>D</w:t>
      </w:r>
      <w:r w:rsidR="00772F3C">
        <w:rPr>
          <w:rFonts w:ascii="Arial" w:hAnsi="Arial" w:cs="Arial"/>
        </w:rPr>
        <w:t xml:space="preserve">ata </w:t>
      </w:r>
      <w:r w:rsidR="006E6E62">
        <w:rPr>
          <w:rFonts w:ascii="Arial" w:hAnsi="Arial" w:cs="Arial"/>
        </w:rPr>
        <w:t>I</w:t>
      </w:r>
      <w:r w:rsidR="00772F3C">
        <w:rPr>
          <w:rFonts w:ascii="Arial" w:hAnsi="Arial" w:cs="Arial"/>
        </w:rPr>
        <w:t xml:space="preserve">tem within the </w:t>
      </w:r>
      <w:hyperlink r:id="rId16" w:history="1">
        <w:r w:rsidR="00772F3C" w:rsidRPr="0074319C">
          <w:rPr>
            <w:rStyle w:val="Hyperlink"/>
            <w:rFonts w:ascii="Arial" w:hAnsi="Arial" w:cs="Arial"/>
          </w:rPr>
          <w:t>Switch Request</w:t>
        </w:r>
      </w:hyperlink>
      <w:r w:rsidR="00772F3C">
        <w:rPr>
          <w:rFonts w:ascii="Arial" w:hAnsi="Arial" w:cs="Arial"/>
        </w:rPr>
        <w:t>.</w:t>
      </w:r>
      <w:r w:rsidR="00C27B11">
        <w:rPr>
          <w:rFonts w:ascii="Arial" w:hAnsi="Arial" w:cs="Arial"/>
        </w:rPr>
        <w:t xml:space="preserve"> </w:t>
      </w:r>
      <w:r w:rsidR="000B5F11">
        <w:rPr>
          <w:rFonts w:ascii="Arial" w:hAnsi="Arial" w:cs="Arial"/>
        </w:rPr>
        <w:t xml:space="preserve">The </w:t>
      </w:r>
      <w:r w:rsidR="00033C01">
        <w:rPr>
          <w:rFonts w:ascii="Arial" w:hAnsi="Arial" w:cs="Arial"/>
        </w:rPr>
        <w:t>D</w:t>
      </w:r>
      <w:r w:rsidR="000B5F11">
        <w:rPr>
          <w:rFonts w:ascii="Arial" w:hAnsi="Arial" w:cs="Arial"/>
        </w:rPr>
        <w:t xml:space="preserve">ata </w:t>
      </w:r>
      <w:r w:rsidR="00033C01">
        <w:rPr>
          <w:rFonts w:ascii="Arial" w:hAnsi="Arial" w:cs="Arial"/>
        </w:rPr>
        <w:t>I</w:t>
      </w:r>
      <w:r w:rsidR="000B5F11">
        <w:rPr>
          <w:rFonts w:ascii="Arial" w:hAnsi="Arial" w:cs="Arial"/>
        </w:rPr>
        <w:t xml:space="preserve">tem is set out as the </w:t>
      </w:r>
      <w:hyperlink r:id="rId17" w:history="1">
        <w:r w:rsidR="009178C3" w:rsidRPr="009178C3">
          <w:rPr>
            <w:rStyle w:val="Hyperlink"/>
            <w:rFonts w:ascii="Arial" w:hAnsi="Arial" w:cs="Arial"/>
          </w:rPr>
          <w:t>DI90017</w:t>
        </w:r>
      </w:hyperlink>
      <w:r w:rsidR="009178C3" w:rsidRPr="009178C3">
        <w:rPr>
          <w:rFonts w:ascii="Arial" w:hAnsi="Arial" w:cs="Arial"/>
        </w:rPr>
        <w:t xml:space="preserve"> </w:t>
      </w:r>
      <w:r w:rsidR="009178C3">
        <w:rPr>
          <w:rFonts w:ascii="Arial" w:hAnsi="Arial" w:cs="Arial"/>
        </w:rPr>
        <w:t>–</w:t>
      </w:r>
      <w:r w:rsidR="009178C3" w:rsidRPr="009178C3">
        <w:rPr>
          <w:rFonts w:ascii="Arial" w:hAnsi="Arial" w:cs="Arial"/>
        </w:rPr>
        <w:t xml:space="preserve"> </w:t>
      </w:r>
      <w:proofErr w:type="spellStart"/>
      <w:r w:rsidR="009178C3" w:rsidRPr="009178C3">
        <w:rPr>
          <w:rFonts w:ascii="Arial" w:hAnsi="Arial" w:cs="Arial"/>
        </w:rPr>
        <w:t>erroneousSwitchResolutionInd</w:t>
      </w:r>
      <w:proofErr w:type="spellEnd"/>
      <w:r w:rsidR="009178C3">
        <w:rPr>
          <w:rFonts w:ascii="Arial" w:hAnsi="Arial" w:cs="Arial"/>
        </w:rPr>
        <w:t>.</w:t>
      </w:r>
    </w:p>
    <w:p w14:paraId="61204F82" w14:textId="77777777" w:rsidR="009178C3" w:rsidRDefault="009178C3" w:rsidP="00734413">
      <w:pPr>
        <w:pStyle w:val="NoSpacing"/>
        <w:spacing w:line="276" w:lineRule="auto"/>
        <w:rPr>
          <w:rFonts w:ascii="Arial" w:hAnsi="Arial" w:cs="Arial"/>
        </w:rPr>
      </w:pPr>
    </w:p>
    <w:p w14:paraId="0E3E697B" w14:textId="77777777" w:rsidR="00F779CF" w:rsidRDefault="009178C3" w:rsidP="00734413">
      <w:pPr>
        <w:pStyle w:val="NoSpacing"/>
        <w:spacing w:line="276" w:lineRule="auto"/>
        <w:rPr>
          <w:rFonts w:ascii="Arial" w:hAnsi="Arial" w:cs="Arial"/>
        </w:rPr>
      </w:pPr>
      <w:hyperlink r:id="rId18" w:history="1">
        <w:r w:rsidRPr="00D7573C">
          <w:rPr>
            <w:rStyle w:val="Hyperlink"/>
            <w:rFonts w:ascii="Arial" w:hAnsi="Arial" w:cs="Arial"/>
          </w:rPr>
          <w:t>Schedule 30</w:t>
        </w:r>
      </w:hyperlink>
      <w:r>
        <w:rPr>
          <w:rFonts w:ascii="Arial" w:hAnsi="Arial" w:cs="Arial"/>
        </w:rPr>
        <w:t xml:space="preserve"> states the following:</w:t>
      </w:r>
    </w:p>
    <w:p w14:paraId="2FF36A8C" w14:textId="77777777" w:rsidR="00F779CF" w:rsidRDefault="00F779CF" w:rsidP="00734413">
      <w:pPr>
        <w:pStyle w:val="NoSpacing"/>
        <w:spacing w:line="276" w:lineRule="auto"/>
        <w:rPr>
          <w:rFonts w:ascii="Arial" w:hAnsi="Arial" w:cs="Arial"/>
        </w:rPr>
      </w:pPr>
    </w:p>
    <w:tbl>
      <w:tblPr>
        <w:tblW w:w="53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2129"/>
        <w:gridCol w:w="2269"/>
        <w:gridCol w:w="995"/>
        <w:gridCol w:w="1136"/>
        <w:gridCol w:w="1562"/>
        <w:gridCol w:w="850"/>
      </w:tblGrid>
      <w:tr w:rsidR="00F779CF" w:rsidRPr="00F779CF" w14:paraId="159546D4" w14:textId="77777777" w:rsidTr="008D6AEA">
        <w:tc>
          <w:tcPr>
            <w:tcW w:w="363" w:type="pct"/>
            <w:tcMar>
              <w:top w:w="0" w:type="dxa"/>
              <w:left w:w="0" w:type="dxa"/>
              <w:bottom w:w="0" w:type="dxa"/>
              <w:right w:w="0" w:type="dxa"/>
            </w:tcMar>
          </w:tcPr>
          <w:p w14:paraId="68EC4999" w14:textId="77777777" w:rsidR="00F779CF" w:rsidRPr="00F779CF" w:rsidRDefault="00F779CF" w:rsidP="00F779CF">
            <w:pPr>
              <w:widowControl w:val="0"/>
              <w:spacing w:line="276" w:lineRule="auto"/>
              <w:ind w:left="57"/>
              <w:jc w:val="both"/>
              <w:rPr>
                <w:rFonts w:eastAsia="Times New Roman"/>
                <w:kern w:val="0"/>
                <w14:ligatures w14:val="none"/>
              </w:rPr>
            </w:pPr>
            <w:r w:rsidRPr="00F779CF">
              <w:rPr>
                <w:rFonts w:eastAsia="Times New Roman" w:cs="Times New Roman"/>
                <w:kern w:val="0"/>
                <w:szCs w:val="24"/>
                <w:lang w:val="en-IN" w:eastAsia="en-IN" w:bidi="hi-IN"/>
                <w14:ligatures w14:val="none"/>
              </w:rPr>
              <w:t>6.9.3</w:t>
            </w:r>
          </w:p>
        </w:tc>
        <w:tc>
          <w:tcPr>
            <w:tcW w:w="1104" w:type="pct"/>
            <w:tcMar>
              <w:top w:w="0" w:type="dxa"/>
              <w:left w:w="0" w:type="dxa"/>
              <w:bottom w:w="0" w:type="dxa"/>
              <w:right w:w="0" w:type="dxa"/>
            </w:tcMar>
          </w:tcPr>
          <w:p w14:paraId="4BD05051" w14:textId="77777777" w:rsidR="00F779CF" w:rsidRPr="00F779CF" w:rsidRDefault="00F779CF" w:rsidP="00F779CF">
            <w:pPr>
              <w:widowControl w:val="0"/>
              <w:spacing w:line="276" w:lineRule="auto"/>
              <w:ind w:left="57"/>
              <w:rPr>
                <w:rFonts w:eastAsia="Times New Roman"/>
                <w:kern w:val="0"/>
                <w14:ligatures w14:val="none"/>
              </w:rPr>
            </w:pPr>
            <w:r w:rsidRPr="00F779CF">
              <w:rPr>
                <w:rFonts w:eastAsia="Times New Roman" w:cs="Times New Roman"/>
                <w:kern w:val="0"/>
                <w:szCs w:val="24"/>
                <w:lang w:val="en-IN" w:eastAsia="en-IN" w:bidi="hi-IN"/>
                <w14:ligatures w14:val="none"/>
              </w:rPr>
              <w:t xml:space="preserve">Following 6.9.2 and within 2 </w:t>
            </w:r>
            <w:hyperlink r:id="rId19">
              <w:r w:rsidRPr="00F779CF">
                <w:rPr>
                  <w:rFonts w:eastAsia="Times New Roman" w:cs="Times New Roman"/>
                  <w:color w:val="0000FF"/>
                  <w:kern w:val="0"/>
                  <w:szCs w:val="24"/>
                  <w:u w:val="single"/>
                  <w:lang w:val="en-IN" w:eastAsia="en-IN" w:bidi="hi-IN"/>
                  <w14:ligatures w14:val="none"/>
                </w:rPr>
                <w:t>WD</w:t>
              </w:r>
            </w:hyperlink>
            <w:r w:rsidRPr="00F779CF">
              <w:rPr>
                <w:rFonts w:eastAsia="Times New Roman" w:cs="Times New Roman"/>
                <w:kern w:val="0"/>
                <w:szCs w:val="24"/>
                <w:lang w:val="en-IN" w:eastAsia="en-IN" w:bidi="hi-IN"/>
                <w14:ligatures w14:val="none"/>
              </w:rPr>
              <w:t xml:space="preserve">s, where the </w:t>
            </w:r>
            <w:hyperlink r:id="rId20">
              <w:r w:rsidRPr="00F779CF">
                <w:rPr>
                  <w:rFonts w:eastAsia="Times New Roman" w:cs="Times New Roman"/>
                  <w:color w:val="0000FF"/>
                  <w:kern w:val="0"/>
                  <w:szCs w:val="24"/>
                  <w:u w:val="single"/>
                  <w:lang w:val="en-IN" w:eastAsia="en-IN" w:bidi="hi-IN"/>
                  <w14:ligatures w14:val="none"/>
                </w:rPr>
                <w:t>Initial Request</w:t>
              </w:r>
            </w:hyperlink>
            <w:r w:rsidRPr="00F779CF">
              <w:rPr>
                <w:rFonts w:eastAsia="Times New Roman" w:cs="Times New Roman"/>
                <w:kern w:val="0"/>
                <w:szCs w:val="24"/>
                <w:lang w:val="en-IN" w:eastAsia="en-IN" w:bidi="hi-IN"/>
                <w14:ligatures w14:val="none"/>
              </w:rPr>
              <w:t xml:space="preserve"> is accepted by the </w:t>
            </w:r>
            <w:hyperlink r:id="rId21">
              <w:r w:rsidRPr="00F779CF">
                <w:rPr>
                  <w:rFonts w:eastAsia="Times New Roman" w:cs="Times New Roman"/>
                  <w:color w:val="0000FF"/>
                  <w:kern w:val="0"/>
                  <w:szCs w:val="24"/>
                  <w:u w:val="single"/>
                  <w:lang w:val="en-IN" w:eastAsia="en-IN" w:bidi="hi-IN"/>
                  <w14:ligatures w14:val="none"/>
                </w:rPr>
                <w:t>Initiating Supplier</w:t>
              </w:r>
            </w:hyperlink>
            <w:r w:rsidRPr="00F779CF">
              <w:rPr>
                <w:rFonts w:eastAsia="Times New Roman" w:cs="Times New Roman"/>
                <w:kern w:val="0"/>
                <w:szCs w:val="24"/>
                <w:lang w:val="en-IN" w:eastAsia="en-IN" w:bidi="hi-IN"/>
                <w14:ligatures w14:val="none"/>
              </w:rPr>
              <w:t xml:space="preserve"> and </w:t>
            </w:r>
            <w:hyperlink r:id="rId22">
              <w:r w:rsidRPr="00F779CF">
                <w:rPr>
                  <w:rFonts w:eastAsia="Times New Roman" w:cs="Times New Roman"/>
                  <w:color w:val="0000FF"/>
                  <w:kern w:val="0"/>
                  <w:szCs w:val="24"/>
                  <w:u w:val="single"/>
                  <w:lang w:val="en-IN" w:eastAsia="en-IN" w:bidi="hi-IN"/>
                  <w14:ligatures w14:val="none"/>
                </w:rPr>
                <w:t>Associated Supplier</w:t>
              </w:r>
            </w:hyperlink>
            <w:r w:rsidRPr="00F779CF">
              <w:rPr>
                <w:rFonts w:eastAsia="Times New Roman" w:cs="Times New Roman"/>
                <w:kern w:val="0"/>
                <w:szCs w:val="24"/>
                <w:lang w:val="en-IN" w:eastAsia="en-IN" w:bidi="hi-IN"/>
                <w14:ligatures w14:val="none"/>
              </w:rPr>
              <w:t>. </w:t>
            </w:r>
          </w:p>
        </w:tc>
        <w:tc>
          <w:tcPr>
            <w:tcW w:w="1177" w:type="pct"/>
            <w:tcMar>
              <w:top w:w="0" w:type="dxa"/>
              <w:left w:w="0" w:type="dxa"/>
              <w:bottom w:w="0" w:type="dxa"/>
              <w:right w:w="0" w:type="dxa"/>
            </w:tcMar>
          </w:tcPr>
          <w:p w14:paraId="11A6162F" w14:textId="77777777" w:rsidR="00F779CF" w:rsidRPr="00F779CF" w:rsidRDefault="00F779CF" w:rsidP="00F779CF">
            <w:pPr>
              <w:widowControl w:val="0"/>
              <w:spacing w:line="276" w:lineRule="auto"/>
              <w:ind w:left="57"/>
              <w:rPr>
                <w:rFonts w:eastAsia="Times New Roman"/>
                <w:kern w:val="0"/>
                <w14:ligatures w14:val="none"/>
              </w:rPr>
            </w:pPr>
            <w:r w:rsidRPr="00F779CF">
              <w:rPr>
                <w:rFonts w:eastAsia="Times New Roman" w:cs="Times New Roman"/>
                <w:kern w:val="0"/>
                <w:szCs w:val="24"/>
                <w:lang w:val="en-IN" w:eastAsia="en-IN" w:bidi="hi-IN"/>
                <w14:ligatures w14:val="none"/>
              </w:rPr>
              <w:t xml:space="preserve">Send a Valid </w:t>
            </w:r>
            <w:hyperlink r:id="rId23">
              <w:r w:rsidRPr="00F779CF">
                <w:rPr>
                  <w:rFonts w:eastAsia="Times New Roman" w:cs="Times New Roman"/>
                  <w:color w:val="0000FF"/>
                  <w:kern w:val="0"/>
                  <w:szCs w:val="24"/>
                  <w:u w:val="single"/>
                  <w:lang w:val="en-IN" w:eastAsia="en-IN" w:bidi="hi-IN"/>
                  <w14:ligatures w14:val="none"/>
                </w:rPr>
                <w:t>Switch Request</w:t>
              </w:r>
            </w:hyperlink>
            <w:r w:rsidRPr="00F779CF">
              <w:rPr>
                <w:rFonts w:eastAsia="Times New Roman" w:cs="Times New Roman"/>
                <w:kern w:val="0"/>
                <w:szCs w:val="24"/>
                <w:lang w:val="en-IN" w:eastAsia="en-IN" w:bidi="hi-IN"/>
                <w14:ligatures w14:val="none"/>
              </w:rPr>
              <w:t xml:space="preserve"> to re-register the erroneously switched </w:t>
            </w:r>
            <w:hyperlink r:id="rId24">
              <w:r w:rsidRPr="00F779CF">
                <w:rPr>
                  <w:rFonts w:eastAsia="Times New Roman" w:cs="Times New Roman"/>
                  <w:color w:val="0000FF"/>
                  <w:kern w:val="0"/>
                  <w:szCs w:val="24"/>
                  <w:u w:val="single"/>
                  <w:lang w:val="en-IN" w:eastAsia="en-IN" w:bidi="hi-IN"/>
                  <w14:ligatures w14:val="none"/>
                </w:rPr>
                <w:t>RMP</w:t>
              </w:r>
            </w:hyperlink>
            <w:r w:rsidRPr="00F779CF">
              <w:rPr>
                <w:rFonts w:eastAsia="Times New Roman" w:cs="Times New Roman"/>
                <w:kern w:val="0"/>
                <w:szCs w:val="24"/>
                <w:lang w:val="en-IN" w:eastAsia="en-IN" w:bidi="hi-IN"/>
                <w14:ligatures w14:val="none"/>
              </w:rPr>
              <w:t xml:space="preserve">(s) on the </w:t>
            </w:r>
            <w:hyperlink r:id="rId25">
              <w:r w:rsidRPr="00F779CF">
                <w:rPr>
                  <w:rFonts w:eastAsia="Times New Roman" w:cs="Times New Roman"/>
                  <w:color w:val="0000FF"/>
                  <w:kern w:val="0"/>
                  <w:szCs w:val="24"/>
                  <w:u w:val="single"/>
                  <w:lang w:val="en-IN" w:eastAsia="en-IN" w:bidi="hi-IN"/>
                  <w14:ligatures w14:val="none"/>
                </w:rPr>
                <w:t>CSS</w:t>
              </w:r>
            </w:hyperlink>
            <w:r w:rsidRPr="00F779CF">
              <w:rPr>
                <w:rFonts w:eastAsia="Times New Roman" w:cs="Times New Roman"/>
                <w:kern w:val="0"/>
                <w:szCs w:val="24"/>
                <w:lang w:val="en-IN" w:eastAsia="en-IN" w:bidi="hi-IN"/>
                <w14:ligatures w14:val="none"/>
              </w:rPr>
              <w:t xml:space="preserve"> with the </w:t>
            </w:r>
            <w:hyperlink r:id="rId26">
              <w:r w:rsidRPr="00F779CF">
                <w:rPr>
                  <w:rFonts w:eastAsia="Times New Roman" w:cs="Times New Roman"/>
                  <w:color w:val="0000FF"/>
                  <w:kern w:val="0"/>
                  <w:szCs w:val="24"/>
                  <w:u w:val="single"/>
                  <w:lang w:val="en-IN" w:eastAsia="en-IN" w:bidi="hi-IN"/>
                  <w14:ligatures w14:val="none"/>
                </w:rPr>
                <w:t>Erroneous Switch</w:t>
              </w:r>
            </w:hyperlink>
            <w:r w:rsidRPr="00F779CF">
              <w:rPr>
                <w:rFonts w:eastAsia="Times New Roman" w:cs="Times New Roman"/>
                <w:kern w:val="0"/>
                <w:szCs w:val="24"/>
                <w:lang w:val="en-IN" w:eastAsia="en-IN" w:bidi="hi-IN"/>
                <w14:ligatures w14:val="none"/>
              </w:rPr>
              <w:t xml:space="preserve"> Flag indicator set to true.  </w:t>
            </w:r>
          </w:p>
        </w:tc>
        <w:tc>
          <w:tcPr>
            <w:tcW w:w="516" w:type="pct"/>
            <w:tcMar>
              <w:top w:w="0" w:type="dxa"/>
              <w:left w:w="0" w:type="dxa"/>
              <w:bottom w:w="0" w:type="dxa"/>
              <w:right w:w="0" w:type="dxa"/>
            </w:tcMar>
          </w:tcPr>
          <w:p w14:paraId="2BADCBFD" w14:textId="77777777" w:rsidR="00F779CF" w:rsidRPr="00F779CF" w:rsidRDefault="00F779CF" w:rsidP="00F779CF">
            <w:pPr>
              <w:widowControl w:val="0"/>
              <w:spacing w:line="276" w:lineRule="auto"/>
              <w:ind w:left="57"/>
              <w:rPr>
                <w:rFonts w:eastAsia="Times New Roman"/>
                <w:kern w:val="0"/>
                <w14:ligatures w14:val="none"/>
              </w:rPr>
            </w:pPr>
            <w:hyperlink r:id="rId27">
              <w:r w:rsidRPr="00F779CF">
                <w:rPr>
                  <w:rFonts w:eastAsia="Times New Roman" w:cs="Times New Roman"/>
                  <w:color w:val="0000FF"/>
                  <w:kern w:val="0"/>
                  <w:szCs w:val="24"/>
                  <w:u w:val="single"/>
                  <w:lang w:val="en-IN" w:eastAsia="en-IN" w:bidi="hi-IN"/>
                  <w14:ligatures w14:val="none"/>
                </w:rPr>
                <w:t>Losing Supplier</w:t>
              </w:r>
            </w:hyperlink>
          </w:p>
        </w:tc>
        <w:tc>
          <w:tcPr>
            <w:tcW w:w="589" w:type="pct"/>
            <w:tcMar>
              <w:top w:w="0" w:type="dxa"/>
              <w:left w:w="0" w:type="dxa"/>
              <w:bottom w:w="0" w:type="dxa"/>
              <w:right w:w="0" w:type="dxa"/>
            </w:tcMar>
          </w:tcPr>
          <w:p w14:paraId="45776441" w14:textId="77777777" w:rsidR="00F779CF" w:rsidRPr="00F779CF" w:rsidRDefault="00F779CF" w:rsidP="00F779CF">
            <w:pPr>
              <w:widowControl w:val="0"/>
              <w:spacing w:line="276" w:lineRule="auto"/>
              <w:ind w:left="57"/>
              <w:rPr>
                <w:rFonts w:eastAsia="Times New Roman"/>
                <w:kern w:val="0"/>
                <w14:ligatures w14:val="none"/>
              </w:rPr>
            </w:pPr>
            <w:hyperlink r:id="rId28">
              <w:r w:rsidRPr="00F779CF">
                <w:rPr>
                  <w:rFonts w:eastAsia="Times New Roman" w:cs="Times New Roman"/>
                  <w:color w:val="0000FF"/>
                  <w:kern w:val="0"/>
                  <w:szCs w:val="24"/>
                  <w:u w:val="single"/>
                  <w:lang w:val="en-IN" w:eastAsia="en-IN" w:bidi="hi-IN"/>
                  <w14:ligatures w14:val="none"/>
                </w:rPr>
                <w:t>CSS Provider</w:t>
              </w:r>
            </w:hyperlink>
          </w:p>
        </w:tc>
        <w:tc>
          <w:tcPr>
            <w:tcW w:w="810" w:type="pct"/>
            <w:tcMar>
              <w:top w:w="0" w:type="dxa"/>
              <w:left w:w="0" w:type="dxa"/>
              <w:bottom w:w="0" w:type="dxa"/>
              <w:right w:w="0" w:type="dxa"/>
            </w:tcMar>
          </w:tcPr>
          <w:p w14:paraId="104DE610" w14:textId="77777777" w:rsidR="00F779CF" w:rsidRPr="00F779CF" w:rsidRDefault="00F779CF" w:rsidP="00F779CF">
            <w:pPr>
              <w:widowControl w:val="0"/>
              <w:spacing w:line="276" w:lineRule="auto"/>
              <w:ind w:left="57"/>
              <w:rPr>
                <w:rFonts w:eastAsia="Times New Roman"/>
                <w:kern w:val="0"/>
                <w14:ligatures w14:val="none"/>
              </w:rPr>
            </w:pPr>
            <w:r w:rsidRPr="00F779CF">
              <w:rPr>
                <w:rFonts w:eastAsia="Times New Roman" w:cs="Times New Roman"/>
                <w:i/>
                <w:kern w:val="0"/>
                <w:szCs w:val="24"/>
                <w:lang w:val="en-IN" w:eastAsia="en-IN" w:bidi="hi-IN"/>
                <w14:ligatures w14:val="none"/>
              </w:rPr>
              <w:t xml:space="preserve">As set out in the </w:t>
            </w:r>
            <w:hyperlink r:id="rId29">
              <w:r w:rsidRPr="00F779CF">
                <w:rPr>
                  <w:rFonts w:eastAsia="Times New Roman" w:cs="Times New Roman"/>
                  <w:i/>
                  <w:iCs/>
                  <w:color w:val="0000FF"/>
                  <w:kern w:val="0"/>
                  <w:szCs w:val="24"/>
                  <w:u w:val="single"/>
                  <w:lang w:val="en-IN" w:eastAsia="en-IN" w:bidi="hi-IN"/>
                  <w14:ligatures w14:val="none"/>
                </w:rPr>
                <w:t>Registration Services Schedule</w:t>
              </w:r>
            </w:hyperlink>
          </w:p>
        </w:tc>
        <w:tc>
          <w:tcPr>
            <w:tcW w:w="441" w:type="pct"/>
            <w:tcMar>
              <w:top w:w="0" w:type="dxa"/>
              <w:left w:w="0" w:type="dxa"/>
              <w:bottom w:w="0" w:type="dxa"/>
              <w:right w:w="0" w:type="dxa"/>
            </w:tcMar>
          </w:tcPr>
          <w:p w14:paraId="177F9C20" w14:textId="77777777" w:rsidR="00F779CF" w:rsidRPr="00F779CF" w:rsidRDefault="00F779CF" w:rsidP="00F779CF">
            <w:pPr>
              <w:widowControl w:val="0"/>
              <w:spacing w:line="276" w:lineRule="auto"/>
              <w:ind w:left="57"/>
              <w:jc w:val="both"/>
              <w:rPr>
                <w:rFonts w:eastAsia="Times New Roman"/>
                <w:kern w:val="0"/>
                <w14:ligatures w14:val="none"/>
              </w:rPr>
            </w:pPr>
            <w:r w:rsidRPr="00F779CF">
              <w:rPr>
                <w:rFonts w:eastAsia="Times New Roman" w:cs="Times New Roman"/>
                <w:kern w:val="0"/>
                <w:szCs w:val="24"/>
                <w:lang w:val="en-IN" w:eastAsia="en-IN" w:bidi="hi-IN"/>
                <w14:ligatures w14:val="none"/>
              </w:rPr>
              <w:t>CSS API</w:t>
            </w:r>
          </w:p>
        </w:tc>
      </w:tr>
    </w:tbl>
    <w:p w14:paraId="6A831FB0" w14:textId="77777777" w:rsidR="00825B07" w:rsidRDefault="00825B07" w:rsidP="00734413">
      <w:pPr>
        <w:pStyle w:val="NoSpacing"/>
        <w:spacing w:line="276" w:lineRule="auto"/>
        <w:rPr>
          <w:rFonts w:ascii="Arial" w:hAnsi="Arial" w:cs="Arial"/>
        </w:rPr>
      </w:pPr>
    </w:p>
    <w:p w14:paraId="5CC7982B" w14:textId="32CCF354" w:rsidR="00825B07" w:rsidRDefault="00825B07" w:rsidP="00734413">
      <w:pPr>
        <w:pStyle w:val="NoSpacing"/>
        <w:spacing w:line="276" w:lineRule="auto"/>
        <w:rPr>
          <w:rFonts w:ascii="Arial" w:hAnsi="Arial" w:cs="Arial"/>
        </w:rPr>
      </w:pPr>
      <w:r w:rsidRPr="394896D7">
        <w:rPr>
          <w:rFonts w:ascii="Arial" w:hAnsi="Arial" w:cs="Arial"/>
        </w:rPr>
        <w:t xml:space="preserve">This means that the ES flag indicator should only be set to T once the ES has been agreed via the D0301 or RET </w:t>
      </w:r>
      <w:r w:rsidR="00936499" w:rsidRPr="394896D7">
        <w:rPr>
          <w:rFonts w:ascii="Arial" w:hAnsi="Arial" w:cs="Arial"/>
        </w:rPr>
        <w:t>process as set out in Schedule 30.</w:t>
      </w:r>
      <w:r w:rsidR="00807F13" w:rsidRPr="394896D7">
        <w:rPr>
          <w:rFonts w:ascii="Arial" w:hAnsi="Arial" w:cs="Arial"/>
        </w:rPr>
        <w:t xml:space="preserve">  It should not be used </w:t>
      </w:r>
      <w:r w:rsidR="00DA303D" w:rsidRPr="394896D7">
        <w:rPr>
          <w:rFonts w:ascii="Arial" w:hAnsi="Arial" w:cs="Arial"/>
        </w:rPr>
        <w:t>for any other reason, including ES prevention or flagging a potential ES</w:t>
      </w:r>
      <w:r w:rsidR="00496F3E" w:rsidRPr="394896D7">
        <w:rPr>
          <w:rFonts w:ascii="Arial" w:hAnsi="Arial" w:cs="Arial"/>
        </w:rPr>
        <w:t>.</w:t>
      </w:r>
    </w:p>
    <w:p w14:paraId="0ACDC83D" w14:textId="77777777" w:rsidR="00936499" w:rsidRDefault="00936499" w:rsidP="00734413">
      <w:pPr>
        <w:pStyle w:val="NoSpacing"/>
        <w:spacing w:line="276" w:lineRule="auto"/>
        <w:rPr>
          <w:rFonts w:ascii="Arial" w:hAnsi="Arial" w:cs="Arial"/>
        </w:rPr>
      </w:pPr>
    </w:p>
    <w:p w14:paraId="50C81B6B" w14:textId="01B230FC" w:rsidR="00936499" w:rsidRDefault="00936499" w:rsidP="00734413">
      <w:pPr>
        <w:pStyle w:val="NoSpacing"/>
        <w:spacing w:line="276" w:lineRule="auto"/>
        <w:rPr>
          <w:rFonts w:ascii="Arial" w:hAnsi="Arial" w:cs="Arial"/>
        </w:rPr>
      </w:pPr>
      <w:r>
        <w:rPr>
          <w:rFonts w:ascii="Arial" w:hAnsi="Arial" w:cs="Arial"/>
        </w:rPr>
        <w:t xml:space="preserve">All other Switch Requests should have the ES flag indicator set to F as they do not relate to an ES.  </w:t>
      </w:r>
    </w:p>
    <w:p w14:paraId="2418F19F" w14:textId="77777777" w:rsidR="00B7161A" w:rsidRDefault="00B7161A" w:rsidP="00734413">
      <w:pPr>
        <w:pStyle w:val="NoSpacing"/>
        <w:spacing w:line="276" w:lineRule="auto"/>
        <w:rPr>
          <w:rFonts w:ascii="Arial" w:hAnsi="Arial" w:cs="Arial"/>
        </w:rPr>
      </w:pPr>
    </w:p>
    <w:p w14:paraId="29F1FF0C" w14:textId="7706B0BD" w:rsidR="00936499" w:rsidRDefault="007943F6" w:rsidP="00734413">
      <w:pPr>
        <w:pStyle w:val="NoSpacing"/>
        <w:spacing w:line="276" w:lineRule="auto"/>
        <w:rPr>
          <w:rFonts w:ascii="Arial" w:hAnsi="Arial" w:cs="Arial"/>
        </w:rPr>
      </w:pPr>
      <w:r w:rsidRPr="007943F6">
        <w:rPr>
          <w:rFonts w:ascii="Arial" w:hAnsi="Arial" w:cs="Arial"/>
          <w:noProof/>
        </w:rPr>
        <w:drawing>
          <wp:inline distT="0" distB="0" distL="0" distR="0" wp14:anchorId="56B72E08" wp14:editId="30E956FB">
            <wp:extent cx="5731510" cy="2626360"/>
            <wp:effectExtent l="0" t="0" r="2540" b="2540"/>
            <wp:docPr id="9339978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9784" name="Picture 1" descr="A screenshot of a computer&#10;&#10;AI-generated content may be incorrect."/>
                    <pic:cNvPicPr/>
                  </pic:nvPicPr>
                  <pic:blipFill>
                    <a:blip r:embed="rId30"/>
                    <a:stretch>
                      <a:fillRect/>
                    </a:stretch>
                  </pic:blipFill>
                  <pic:spPr>
                    <a:xfrm>
                      <a:off x="0" y="0"/>
                      <a:ext cx="5731510" cy="2626360"/>
                    </a:xfrm>
                    <a:prstGeom prst="rect">
                      <a:avLst/>
                    </a:prstGeom>
                  </pic:spPr>
                </pic:pic>
              </a:graphicData>
            </a:graphic>
          </wp:inline>
        </w:drawing>
      </w:r>
    </w:p>
    <w:p w14:paraId="502CB3F0" w14:textId="77777777" w:rsidR="007943F6" w:rsidRDefault="007943F6" w:rsidP="00734413">
      <w:pPr>
        <w:pStyle w:val="NoSpacing"/>
        <w:spacing w:line="276" w:lineRule="auto"/>
        <w:rPr>
          <w:rFonts w:ascii="Arial" w:hAnsi="Arial" w:cs="Arial"/>
        </w:rPr>
      </w:pPr>
    </w:p>
    <w:p w14:paraId="3A85736D" w14:textId="248501F2" w:rsidR="007943F6" w:rsidRDefault="007943F6" w:rsidP="00734413">
      <w:pPr>
        <w:pStyle w:val="NoSpacing"/>
        <w:spacing w:line="276" w:lineRule="auto"/>
        <w:rPr>
          <w:rFonts w:ascii="Arial" w:hAnsi="Arial" w:cs="Arial"/>
        </w:rPr>
      </w:pPr>
      <w:r>
        <w:rPr>
          <w:rFonts w:ascii="Arial" w:hAnsi="Arial" w:cs="Arial"/>
        </w:rPr>
        <w:t xml:space="preserve">If a Losing Supplier wishes the Gaining Supplier to investigate a potential ES, they should follow the process as set out in </w:t>
      </w:r>
      <w:hyperlink r:id="rId31" w:history="1">
        <w:r w:rsidRPr="00D7573C">
          <w:rPr>
            <w:rStyle w:val="Hyperlink"/>
            <w:rFonts w:ascii="Arial" w:hAnsi="Arial" w:cs="Arial"/>
          </w:rPr>
          <w:t>Schedule 30</w:t>
        </w:r>
      </w:hyperlink>
      <w:r w:rsidR="00975DE5">
        <w:rPr>
          <w:rFonts w:ascii="Arial" w:hAnsi="Arial" w:cs="Arial"/>
        </w:rPr>
        <w:t>, Section B</w:t>
      </w:r>
      <w:r w:rsidR="00D7573C">
        <w:rPr>
          <w:rFonts w:ascii="Arial" w:hAnsi="Arial" w:cs="Arial"/>
        </w:rPr>
        <w:t>.</w:t>
      </w:r>
    </w:p>
    <w:p w14:paraId="22A18002" w14:textId="5ECEA5CA" w:rsidR="00872331" w:rsidRDefault="00872331">
      <w:r>
        <w:br w:type="page"/>
      </w:r>
    </w:p>
    <w:p w14:paraId="2FF713EA" w14:textId="77777777" w:rsidR="00084EB1" w:rsidRDefault="00084EB1" w:rsidP="003B7969">
      <w:pPr>
        <w:pStyle w:val="Heading1"/>
        <w:numPr>
          <w:ilvl w:val="0"/>
          <w:numId w:val="17"/>
        </w:numPr>
      </w:pPr>
      <w:r>
        <w:t>Domestic rejection reasons</w:t>
      </w:r>
    </w:p>
    <w:p w14:paraId="1341A8F1" w14:textId="2B6D6831" w:rsidR="00FE0049" w:rsidRPr="009E29A7" w:rsidRDefault="00781424" w:rsidP="00084EB1">
      <w:pPr>
        <w:pStyle w:val="NoSpacing"/>
        <w:spacing w:line="276" w:lineRule="auto"/>
        <w:rPr>
          <w:rFonts w:ascii="Arial" w:hAnsi="Arial" w:cs="Arial"/>
        </w:rPr>
      </w:pPr>
      <w:r w:rsidRPr="009E29A7">
        <w:rPr>
          <w:rFonts w:ascii="Arial" w:hAnsi="Arial" w:cs="Arial"/>
        </w:rPr>
        <w:t xml:space="preserve">Any </w:t>
      </w:r>
      <w:r w:rsidR="002763F7" w:rsidRPr="009E29A7">
        <w:rPr>
          <w:rFonts w:ascii="Arial" w:hAnsi="Arial" w:cs="Arial"/>
        </w:rPr>
        <w:t>Associated S</w:t>
      </w:r>
      <w:r w:rsidRPr="009E29A7">
        <w:rPr>
          <w:rFonts w:ascii="Arial" w:hAnsi="Arial" w:cs="Arial"/>
        </w:rPr>
        <w:t>upplier</w:t>
      </w:r>
      <w:r w:rsidR="002763F7" w:rsidRPr="009E29A7">
        <w:rPr>
          <w:rFonts w:ascii="Arial" w:hAnsi="Arial" w:cs="Arial"/>
        </w:rPr>
        <w:t xml:space="preserve"> </w:t>
      </w:r>
      <w:r w:rsidRPr="009E29A7">
        <w:rPr>
          <w:rFonts w:ascii="Arial" w:hAnsi="Arial" w:cs="Arial"/>
        </w:rPr>
        <w:t>receiving a D0301 or RET flow has the right to validate and reject the flo</w:t>
      </w:r>
      <w:r w:rsidR="00662D30" w:rsidRPr="009E29A7">
        <w:rPr>
          <w:rFonts w:ascii="Arial" w:hAnsi="Arial" w:cs="Arial"/>
        </w:rPr>
        <w:t xml:space="preserve">w.  </w:t>
      </w:r>
    </w:p>
    <w:p w14:paraId="2A959105" w14:textId="77777777" w:rsidR="00FE0049" w:rsidRPr="009E29A7" w:rsidRDefault="00FE0049" w:rsidP="00084EB1">
      <w:pPr>
        <w:pStyle w:val="NoSpacing"/>
        <w:spacing w:line="276" w:lineRule="auto"/>
        <w:rPr>
          <w:rFonts w:ascii="Arial" w:hAnsi="Arial" w:cs="Arial"/>
        </w:rPr>
      </w:pPr>
    </w:p>
    <w:p w14:paraId="3D1FE3EC" w14:textId="216C7627" w:rsidR="00DC55B9" w:rsidRPr="009E29A7" w:rsidRDefault="00662D30" w:rsidP="00084EB1">
      <w:pPr>
        <w:pStyle w:val="NoSpacing"/>
        <w:spacing w:line="276" w:lineRule="auto"/>
        <w:rPr>
          <w:rFonts w:ascii="Arial" w:hAnsi="Arial" w:cs="Arial"/>
        </w:rPr>
      </w:pPr>
      <w:r w:rsidRPr="009E29A7">
        <w:rPr>
          <w:rFonts w:ascii="Arial" w:hAnsi="Arial" w:cs="Arial"/>
        </w:rPr>
        <w:t xml:space="preserve">Domestic MPXNs (as determined by the Domestic Premise Indicator) </w:t>
      </w:r>
      <w:r w:rsidR="001738B7" w:rsidRPr="009E29A7">
        <w:rPr>
          <w:rFonts w:ascii="Arial" w:hAnsi="Arial" w:cs="Arial"/>
        </w:rPr>
        <w:t xml:space="preserve">have limited </w:t>
      </w:r>
      <w:r w:rsidR="00CA5954" w:rsidRPr="009E29A7">
        <w:rPr>
          <w:rFonts w:ascii="Arial" w:hAnsi="Arial" w:cs="Arial"/>
        </w:rPr>
        <w:t>reasons for rejection</w:t>
      </w:r>
      <w:r w:rsidR="00A300CF" w:rsidRPr="009E29A7">
        <w:rPr>
          <w:rFonts w:ascii="Arial" w:hAnsi="Arial" w:cs="Arial"/>
        </w:rPr>
        <w:t>.</w:t>
      </w:r>
      <w:r w:rsidR="00DC55B9" w:rsidRPr="009E29A7">
        <w:rPr>
          <w:rFonts w:ascii="Arial" w:hAnsi="Arial" w:cs="Arial"/>
        </w:rPr>
        <w:t xml:space="preserve"> The table below provides valid and invalid scenarios.</w:t>
      </w:r>
    </w:p>
    <w:p w14:paraId="0906B3DD" w14:textId="77777777" w:rsidR="00DC55B9" w:rsidRDefault="00DC55B9" w:rsidP="00084EB1">
      <w:pPr>
        <w:pStyle w:val="NoSpacing"/>
        <w:spacing w:line="276" w:lineRule="auto"/>
        <w:rPr>
          <w:rFonts w:ascii="Arial" w:hAnsi="Arial" w:cs="Arial"/>
          <w:sz w:val="24"/>
          <w:szCs w:val="24"/>
        </w:rPr>
      </w:pPr>
    </w:p>
    <w:tbl>
      <w:tblPr>
        <w:tblStyle w:val="TableGrid"/>
        <w:tblW w:w="0" w:type="auto"/>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559"/>
        <w:gridCol w:w="2122"/>
        <w:gridCol w:w="3080"/>
        <w:gridCol w:w="2255"/>
      </w:tblGrid>
      <w:tr w:rsidR="00DC55B9" w:rsidRPr="00D03ED5" w14:paraId="08178F36" w14:textId="77777777" w:rsidTr="394896D7">
        <w:trPr>
          <w:cnfStyle w:val="100000000000" w:firstRow="1" w:lastRow="0" w:firstColumn="0" w:lastColumn="0" w:oddVBand="0" w:evenVBand="0" w:oddHBand="0" w:evenHBand="0" w:firstRowFirstColumn="0" w:firstRowLastColumn="0" w:lastRowFirstColumn="0" w:lastRowLastColumn="0"/>
          <w:tblHeader/>
        </w:trPr>
        <w:tc>
          <w:tcPr>
            <w:tcW w:w="1559" w:type="dxa"/>
          </w:tcPr>
          <w:p w14:paraId="0652ABC6" w14:textId="1ADAD854" w:rsidR="00DC55B9" w:rsidRPr="00D03ED5" w:rsidRDefault="004A592A" w:rsidP="00084EB1">
            <w:pPr>
              <w:pStyle w:val="NoSpacing"/>
              <w:spacing w:line="276" w:lineRule="auto"/>
              <w:rPr>
                <w:rFonts w:ascii="Arial" w:hAnsi="Arial" w:cs="Arial"/>
              </w:rPr>
            </w:pPr>
            <w:r w:rsidRPr="00D03ED5">
              <w:rPr>
                <w:rFonts w:ascii="Arial" w:hAnsi="Arial" w:cs="Arial"/>
              </w:rPr>
              <w:t>Associated Supplier</w:t>
            </w:r>
          </w:p>
        </w:tc>
        <w:tc>
          <w:tcPr>
            <w:tcW w:w="2122" w:type="dxa"/>
          </w:tcPr>
          <w:p w14:paraId="2C948899" w14:textId="6C05AA82" w:rsidR="00DC55B9" w:rsidRPr="00D03ED5" w:rsidRDefault="004A592A" w:rsidP="00084EB1">
            <w:pPr>
              <w:pStyle w:val="NoSpacing"/>
              <w:spacing w:line="276" w:lineRule="auto"/>
              <w:rPr>
                <w:rFonts w:ascii="Arial" w:hAnsi="Arial" w:cs="Arial"/>
              </w:rPr>
            </w:pPr>
            <w:r w:rsidRPr="00D03ED5">
              <w:rPr>
                <w:rFonts w:ascii="Arial" w:hAnsi="Arial" w:cs="Arial"/>
              </w:rPr>
              <w:t>Scenario</w:t>
            </w:r>
          </w:p>
        </w:tc>
        <w:tc>
          <w:tcPr>
            <w:tcW w:w="3080" w:type="dxa"/>
          </w:tcPr>
          <w:p w14:paraId="59491BDD" w14:textId="416A117C" w:rsidR="00DC55B9" w:rsidRPr="00D03ED5" w:rsidRDefault="004A592A" w:rsidP="00084EB1">
            <w:pPr>
              <w:pStyle w:val="NoSpacing"/>
              <w:spacing w:line="276" w:lineRule="auto"/>
              <w:rPr>
                <w:rFonts w:ascii="Arial" w:hAnsi="Arial" w:cs="Arial"/>
              </w:rPr>
            </w:pPr>
            <w:r w:rsidRPr="00D03ED5">
              <w:rPr>
                <w:rFonts w:ascii="Arial" w:hAnsi="Arial" w:cs="Arial"/>
              </w:rPr>
              <w:t>Valid Rejection?</w:t>
            </w:r>
          </w:p>
        </w:tc>
        <w:tc>
          <w:tcPr>
            <w:tcW w:w="2255" w:type="dxa"/>
          </w:tcPr>
          <w:p w14:paraId="64BED5A9" w14:textId="482D9E13" w:rsidR="00DC55B9" w:rsidRPr="00D03ED5" w:rsidRDefault="004A592A" w:rsidP="00084EB1">
            <w:pPr>
              <w:pStyle w:val="NoSpacing"/>
              <w:spacing w:line="276" w:lineRule="auto"/>
              <w:rPr>
                <w:rFonts w:ascii="Arial" w:hAnsi="Arial" w:cs="Arial"/>
              </w:rPr>
            </w:pPr>
            <w:r w:rsidRPr="00D03ED5">
              <w:rPr>
                <w:rFonts w:ascii="Arial" w:hAnsi="Arial" w:cs="Arial"/>
              </w:rPr>
              <w:t>Suggested Additional Comments</w:t>
            </w:r>
          </w:p>
        </w:tc>
      </w:tr>
      <w:tr w:rsidR="00DC55B9" w:rsidRPr="00D03ED5" w14:paraId="3D9AF835" w14:textId="77777777" w:rsidTr="394896D7">
        <w:trPr>
          <w:cnfStyle w:val="000000100000" w:firstRow="0" w:lastRow="0" w:firstColumn="0" w:lastColumn="0" w:oddVBand="0" w:evenVBand="0" w:oddHBand="1" w:evenHBand="0" w:firstRowFirstColumn="0" w:firstRowLastColumn="0" w:lastRowFirstColumn="0" w:lastRowLastColumn="0"/>
        </w:trPr>
        <w:tc>
          <w:tcPr>
            <w:tcW w:w="1559" w:type="dxa"/>
          </w:tcPr>
          <w:p w14:paraId="0ADDC3CB" w14:textId="71E25B4D" w:rsidR="00DC55B9" w:rsidRPr="00D03ED5" w:rsidRDefault="004A592A" w:rsidP="009709EB">
            <w:pPr>
              <w:pStyle w:val="NoSpacing"/>
              <w:spacing w:line="276" w:lineRule="auto"/>
              <w:jc w:val="left"/>
              <w:rPr>
                <w:rFonts w:ascii="Arial" w:hAnsi="Arial" w:cs="Arial"/>
              </w:rPr>
            </w:pPr>
            <w:r w:rsidRPr="00D03ED5">
              <w:rPr>
                <w:rFonts w:ascii="Arial" w:hAnsi="Arial" w:cs="Arial"/>
              </w:rPr>
              <w:t>Gaining Supplier</w:t>
            </w:r>
          </w:p>
        </w:tc>
        <w:tc>
          <w:tcPr>
            <w:tcW w:w="2122" w:type="dxa"/>
          </w:tcPr>
          <w:p w14:paraId="78ACE68F" w14:textId="6279E09E" w:rsidR="00DC55B9" w:rsidRPr="00D03ED5" w:rsidRDefault="00191295" w:rsidP="009709EB">
            <w:pPr>
              <w:pStyle w:val="NoSpacing"/>
              <w:spacing w:line="276" w:lineRule="auto"/>
              <w:jc w:val="left"/>
              <w:rPr>
                <w:rFonts w:ascii="Arial" w:hAnsi="Arial" w:cs="Arial"/>
              </w:rPr>
            </w:pPr>
            <w:r w:rsidRPr="00D03ED5">
              <w:rPr>
                <w:rFonts w:ascii="Arial" w:hAnsi="Arial" w:cs="Arial"/>
              </w:rPr>
              <w:t>Disagrees with the ES reason but agrees an ES has occurred</w:t>
            </w:r>
          </w:p>
        </w:tc>
        <w:tc>
          <w:tcPr>
            <w:tcW w:w="3080" w:type="dxa"/>
          </w:tcPr>
          <w:p w14:paraId="1C15F569" w14:textId="600A5E73" w:rsidR="00DC55B9" w:rsidRPr="00D03ED5" w:rsidRDefault="00191295" w:rsidP="009709EB">
            <w:pPr>
              <w:pStyle w:val="NoSpacing"/>
              <w:spacing w:line="276" w:lineRule="auto"/>
              <w:jc w:val="left"/>
              <w:rPr>
                <w:rFonts w:ascii="Arial" w:hAnsi="Arial" w:cs="Arial"/>
              </w:rPr>
            </w:pPr>
            <w:r w:rsidRPr="00D03ED5">
              <w:rPr>
                <w:rFonts w:ascii="Arial" w:hAnsi="Arial" w:cs="Arial"/>
              </w:rPr>
              <w:t xml:space="preserve">N – as the </w:t>
            </w:r>
            <w:r w:rsidR="00AB67DE">
              <w:rPr>
                <w:rFonts w:ascii="Arial" w:hAnsi="Arial" w:cs="Arial"/>
              </w:rPr>
              <w:t>G</w:t>
            </w:r>
            <w:r w:rsidRPr="00D03ED5">
              <w:rPr>
                <w:rFonts w:ascii="Arial" w:hAnsi="Arial" w:cs="Arial"/>
              </w:rPr>
              <w:t xml:space="preserve">aining </w:t>
            </w:r>
            <w:r w:rsidR="00AB67DE">
              <w:rPr>
                <w:rFonts w:ascii="Arial" w:hAnsi="Arial" w:cs="Arial"/>
              </w:rPr>
              <w:t>S</w:t>
            </w:r>
            <w:r w:rsidRPr="00D03ED5">
              <w:rPr>
                <w:rFonts w:ascii="Arial" w:hAnsi="Arial" w:cs="Arial"/>
              </w:rPr>
              <w:t xml:space="preserve">upplier can respond with an updated ES </w:t>
            </w:r>
            <w:r w:rsidR="00DE4F72" w:rsidRPr="00D03ED5">
              <w:rPr>
                <w:rFonts w:ascii="Arial" w:hAnsi="Arial" w:cs="Arial"/>
              </w:rPr>
              <w:t>Reason for Return</w:t>
            </w:r>
            <w:r w:rsidR="00FB7C82">
              <w:rPr>
                <w:rFonts w:ascii="Arial" w:hAnsi="Arial" w:cs="Arial"/>
              </w:rPr>
              <w:t>.</w:t>
            </w:r>
          </w:p>
        </w:tc>
        <w:tc>
          <w:tcPr>
            <w:tcW w:w="2255" w:type="dxa"/>
          </w:tcPr>
          <w:p w14:paraId="1174818F" w14:textId="2F2F9CB5" w:rsidR="00DC55B9" w:rsidRPr="00D03ED5" w:rsidRDefault="00AB67DE" w:rsidP="009709EB">
            <w:pPr>
              <w:pStyle w:val="NoSpacing"/>
              <w:spacing w:line="276" w:lineRule="auto"/>
              <w:jc w:val="left"/>
              <w:rPr>
                <w:rFonts w:ascii="Arial" w:hAnsi="Arial" w:cs="Arial"/>
              </w:rPr>
            </w:pPr>
            <w:r>
              <w:rPr>
                <w:rFonts w:ascii="Arial" w:hAnsi="Arial" w:cs="Arial"/>
              </w:rPr>
              <w:t>N/A</w:t>
            </w:r>
          </w:p>
        </w:tc>
      </w:tr>
      <w:tr w:rsidR="00324737" w:rsidRPr="00D03ED5" w14:paraId="3F4AD4DC" w14:textId="77777777" w:rsidTr="394896D7">
        <w:trPr>
          <w:cnfStyle w:val="000000010000" w:firstRow="0" w:lastRow="0" w:firstColumn="0" w:lastColumn="0" w:oddVBand="0" w:evenVBand="0" w:oddHBand="0" w:evenHBand="1" w:firstRowFirstColumn="0" w:firstRowLastColumn="0" w:lastRowFirstColumn="0" w:lastRowLastColumn="0"/>
        </w:trPr>
        <w:tc>
          <w:tcPr>
            <w:tcW w:w="1559" w:type="dxa"/>
          </w:tcPr>
          <w:p w14:paraId="6E4E7786" w14:textId="55766DE2" w:rsidR="00324737" w:rsidRDefault="00324737" w:rsidP="00324737">
            <w:pPr>
              <w:pStyle w:val="NoSpacing"/>
              <w:spacing w:line="276" w:lineRule="auto"/>
              <w:jc w:val="left"/>
              <w:rPr>
                <w:rFonts w:ascii="Arial" w:hAnsi="Arial" w:cs="Arial"/>
              </w:rPr>
            </w:pPr>
            <w:r w:rsidRPr="00D03ED5">
              <w:rPr>
                <w:rFonts w:ascii="Arial" w:hAnsi="Arial" w:cs="Arial"/>
              </w:rPr>
              <w:t>Gaining Supplier</w:t>
            </w:r>
          </w:p>
        </w:tc>
        <w:tc>
          <w:tcPr>
            <w:tcW w:w="2122" w:type="dxa"/>
          </w:tcPr>
          <w:p w14:paraId="534C4C36" w14:textId="6911B781" w:rsidR="00324737" w:rsidRDefault="00324737" w:rsidP="00324737">
            <w:pPr>
              <w:pStyle w:val="NoSpacing"/>
              <w:spacing w:line="276" w:lineRule="auto"/>
              <w:jc w:val="left"/>
              <w:rPr>
                <w:rFonts w:ascii="Arial" w:hAnsi="Arial" w:cs="Arial"/>
              </w:rPr>
            </w:pPr>
            <w:r w:rsidRPr="00D03ED5">
              <w:rPr>
                <w:rFonts w:ascii="Arial" w:hAnsi="Arial" w:cs="Arial"/>
              </w:rPr>
              <w:t>Disagrees with the ES reason</w:t>
            </w:r>
            <w:r w:rsidR="00FF6C98" w:rsidRPr="00D03ED5">
              <w:rPr>
                <w:rFonts w:ascii="Arial" w:hAnsi="Arial" w:cs="Arial"/>
              </w:rPr>
              <w:t xml:space="preserve"> </w:t>
            </w:r>
            <w:r w:rsidR="00FF6C98">
              <w:rPr>
                <w:rFonts w:ascii="Arial" w:hAnsi="Arial" w:cs="Arial"/>
              </w:rPr>
              <w:t>and does not agree an ES has occurred</w:t>
            </w:r>
          </w:p>
        </w:tc>
        <w:tc>
          <w:tcPr>
            <w:tcW w:w="3080" w:type="dxa"/>
          </w:tcPr>
          <w:p w14:paraId="31148943" w14:textId="08D65A57" w:rsidR="00324737" w:rsidRDefault="00324737" w:rsidP="00324737">
            <w:pPr>
              <w:pStyle w:val="NoSpacing"/>
              <w:spacing w:line="276" w:lineRule="auto"/>
              <w:jc w:val="left"/>
              <w:rPr>
                <w:rFonts w:ascii="Arial" w:hAnsi="Arial" w:cs="Arial"/>
              </w:rPr>
            </w:pPr>
            <w:r>
              <w:rPr>
                <w:rFonts w:ascii="Arial" w:hAnsi="Arial" w:cs="Arial"/>
              </w:rPr>
              <w:t>Y – only the Gaining Supplier can determine if a</w:t>
            </w:r>
            <w:r w:rsidR="00D4322D">
              <w:rPr>
                <w:rFonts w:ascii="Arial" w:hAnsi="Arial" w:cs="Arial"/>
              </w:rPr>
              <w:t>n</w:t>
            </w:r>
            <w:r>
              <w:rPr>
                <w:rFonts w:ascii="Arial" w:hAnsi="Arial" w:cs="Arial"/>
              </w:rPr>
              <w:t xml:space="preserve"> ES has occurred</w:t>
            </w:r>
            <w:r w:rsidR="00FB7C82">
              <w:rPr>
                <w:rFonts w:ascii="Arial" w:hAnsi="Arial" w:cs="Arial"/>
              </w:rPr>
              <w:t>.</w:t>
            </w:r>
          </w:p>
        </w:tc>
        <w:tc>
          <w:tcPr>
            <w:tcW w:w="2255" w:type="dxa"/>
          </w:tcPr>
          <w:p w14:paraId="134D1529" w14:textId="24C2B899" w:rsidR="000C32FC" w:rsidRDefault="000C32FC" w:rsidP="00324737">
            <w:pPr>
              <w:pStyle w:val="NoSpacing"/>
              <w:spacing w:line="276" w:lineRule="auto"/>
              <w:jc w:val="left"/>
              <w:rPr>
                <w:rFonts w:ascii="Arial" w:hAnsi="Arial" w:cs="Arial"/>
              </w:rPr>
            </w:pPr>
            <w:r>
              <w:rPr>
                <w:rFonts w:ascii="Arial" w:hAnsi="Arial" w:cs="Arial"/>
              </w:rPr>
              <w:t xml:space="preserve">Need to be </w:t>
            </w:r>
            <w:r w:rsidR="00AB67DE">
              <w:rPr>
                <w:rFonts w:ascii="Arial" w:hAnsi="Arial" w:cs="Arial"/>
              </w:rPr>
              <w:t>C</w:t>
            </w:r>
            <w:r>
              <w:rPr>
                <w:rFonts w:ascii="Arial" w:hAnsi="Arial" w:cs="Arial"/>
              </w:rPr>
              <w:t>onsumer specific.</w:t>
            </w:r>
          </w:p>
          <w:p w14:paraId="46B1480B" w14:textId="055E7221" w:rsidR="00324737" w:rsidRDefault="009D2C79" w:rsidP="00324737">
            <w:pPr>
              <w:pStyle w:val="NoSpacing"/>
              <w:spacing w:line="276" w:lineRule="auto"/>
              <w:jc w:val="left"/>
              <w:rPr>
                <w:rFonts w:ascii="Arial" w:hAnsi="Arial" w:cs="Arial"/>
              </w:rPr>
            </w:pPr>
            <w:r>
              <w:rPr>
                <w:rFonts w:ascii="Arial" w:hAnsi="Arial" w:cs="Arial"/>
              </w:rPr>
              <w:t>Example</w:t>
            </w:r>
            <w:r w:rsidR="00D4322D">
              <w:rPr>
                <w:rFonts w:ascii="Arial" w:hAnsi="Arial" w:cs="Arial"/>
              </w:rPr>
              <w:t>s</w:t>
            </w:r>
            <w:r>
              <w:rPr>
                <w:rFonts w:ascii="Arial" w:hAnsi="Arial" w:cs="Arial"/>
              </w:rPr>
              <w:t xml:space="preserve"> of a comment could be – Not an ES </w:t>
            </w:r>
            <w:r w:rsidR="00D4322D">
              <w:rPr>
                <w:rFonts w:ascii="Arial" w:hAnsi="Arial" w:cs="Arial"/>
              </w:rPr>
              <w:t>– consumer confirmed Switch is valid.</w:t>
            </w:r>
          </w:p>
          <w:p w14:paraId="7BE29A6A" w14:textId="6B7471C7" w:rsidR="00371C59" w:rsidRDefault="00371C59" w:rsidP="00324737">
            <w:pPr>
              <w:pStyle w:val="NoSpacing"/>
              <w:spacing w:line="276" w:lineRule="auto"/>
              <w:jc w:val="left"/>
              <w:rPr>
                <w:rFonts w:ascii="Arial" w:hAnsi="Arial" w:cs="Arial"/>
              </w:rPr>
            </w:pPr>
            <w:r>
              <w:rPr>
                <w:rFonts w:ascii="Arial" w:hAnsi="Arial" w:cs="Arial"/>
              </w:rPr>
              <w:t xml:space="preserve">Not an ES – cooling off period expired before Switch </w:t>
            </w:r>
            <w:r w:rsidR="000744EF">
              <w:rPr>
                <w:rFonts w:ascii="Arial" w:hAnsi="Arial" w:cs="Arial"/>
              </w:rPr>
              <w:t>completed</w:t>
            </w:r>
            <w:r w:rsidR="00CB701F">
              <w:rPr>
                <w:rFonts w:ascii="Arial" w:hAnsi="Arial" w:cs="Arial"/>
              </w:rPr>
              <w:t xml:space="preserve"> - n</w:t>
            </w:r>
            <w:r>
              <w:rPr>
                <w:rFonts w:ascii="Arial" w:hAnsi="Arial" w:cs="Arial"/>
              </w:rPr>
              <w:t>o cancellation received.</w:t>
            </w:r>
          </w:p>
        </w:tc>
      </w:tr>
      <w:tr w:rsidR="00324737" w:rsidRPr="00D03ED5" w14:paraId="372CAE76" w14:textId="77777777" w:rsidTr="394896D7">
        <w:trPr>
          <w:cnfStyle w:val="000000100000" w:firstRow="0" w:lastRow="0" w:firstColumn="0" w:lastColumn="0" w:oddVBand="0" w:evenVBand="0" w:oddHBand="1" w:evenHBand="0" w:firstRowFirstColumn="0" w:firstRowLastColumn="0" w:lastRowFirstColumn="0" w:lastRowLastColumn="0"/>
        </w:trPr>
        <w:tc>
          <w:tcPr>
            <w:tcW w:w="1559" w:type="dxa"/>
          </w:tcPr>
          <w:p w14:paraId="7D30D800" w14:textId="4409F176" w:rsidR="00324737" w:rsidRPr="00D03ED5" w:rsidRDefault="00324737" w:rsidP="00324737">
            <w:pPr>
              <w:pStyle w:val="NoSpacing"/>
              <w:spacing w:line="276" w:lineRule="auto"/>
              <w:jc w:val="left"/>
              <w:rPr>
                <w:rFonts w:ascii="Arial" w:hAnsi="Arial" w:cs="Arial"/>
              </w:rPr>
            </w:pPr>
            <w:r>
              <w:rPr>
                <w:rFonts w:ascii="Arial" w:hAnsi="Arial" w:cs="Arial"/>
              </w:rPr>
              <w:t>Gaining or Losing Supplier</w:t>
            </w:r>
          </w:p>
        </w:tc>
        <w:tc>
          <w:tcPr>
            <w:tcW w:w="2122" w:type="dxa"/>
          </w:tcPr>
          <w:p w14:paraId="55DB7488" w14:textId="7DE288E4" w:rsidR="00324737" w:rsidRPr="00D03ED5" w:rsidRDefault="00324737" w:rsidP="00324737">
            <w:pPr>
              <w:pStyle w:val="NoSpacing"/>
              <w:spacing w:line="276" w:lineRule="auto"/>
              <w:jc w:val="left"/>
              <w:rPr>
                <w:rFonts w:ascii="Arial" w:hAnsi="Arial" w:cs="Arial"/>
              </w:rPr>
            </w:pPr>
            <w:r>
              <w:rPr>
                <w:rFonts w:ascii="Arial" w:hAnsi="Arial" w:cs="Arial"/>
              </w:rPr>
              <w:t>Disagrees with the Date of Transfer / Effective from Settlement Date (REGI) for New Supplier</w:t>
            </w:r>
          </w:p>
        </w:tc>
        <w:tc>
          <w:tcPr>
            <w:tcW w:w="3080" w:type="dxa"/>
          </w:tcPr>
          <w:p w14:paraId="5F125B0C" w14:textId="5A54FDA6" w:rsidR="00324737" w:rsidRPr="00D03ED5" w:rsidRDefault="00324737" w:rsidP="00324737">
            <w:pPr>
              <w:pStyle w:val="NoSpacing"/>
              <w:spacing w:line="276" w:lineRule="auto"/>
              <w:jc w:val="left"/>
              <w:rPr>
                <w:rFonts w:ascii="Arial" w:hAnsi="Arial" w:cs="Arial"/>
              </w:rPr>
            </w:pPr>
            <w:r>
              <w:rPr>
                <w:rFonts w:ascii="Arial" w:hAnsi="Arial" w:cs="Arial"/>
              </w:rPr>
              <w:t xml:space="preserve">Y - as reporting is based on the date. If Associated Supplier agrees and ES has </w:t>
            </w:r>
            <w:r w:rsidR="00615F73">
              <w:rPr>
                <w:rFonts w:ascii="Arial" w:hAnsi="Arial" w:cs="Arial"/>
              </w:rPr>
              <w:t>happened,</w:t>
            </w:r>
            <w:r>
              <w:rPr>
                <w:rFonts w:ascii="Arial" w:hAnsi="Arial" w:cs="Arial"/>
              </w:rPr>
              <w:t xml:space="preserve"> they should reject the ES and initiate a new one to limit the Consumer detriment</w:t>
            </w:r>
            <w:r w:rsidR="00FB7C82">
              <w:rPr>
                <w:rFonts w:ascii="Arial" w:hAnsi="Arial" w:cs="Arial"/>
              </w:rPr>
              <w:t>.</w:t>
            </w:r>
          </w:p>
        </w:tc>
        <w:tc>
          <w:tcPr>
            <w:tcW w:w="2255" w:type="dxa"/>
          </w:tcPr>
          <w:p w14:paraId="5E3BCCCD" w14:textId="390B2847" w:rsidR="00324737" w:rsidRPr="00D03ED5" w:rsidRDefault="00324737" w:rsidP="00324737">
            <w:pPr>
              <w:pStyle w:val="NoSpacing"/>
              <w:spacing w:line="276" w:lineRule="auto"/>
              <w:jc w:val="left"/>
              <w:rPr>
                <w:rFonts w:ascii="Arial" w:hAnsi="Arial" w:cs="Arial"/>
              </w:rPr>
            </w:pPr>
            <w:r>
              <w:rPr>
                <w:rFonts w:ascii="Arial" w:hAnsi="Arial" w:cs="Arial"/>
              </w:rPr>
              <w:t>Invalid date – should be dd/mm/</w:t>
            </w:r>
            <w:proofErr w:type="spellStart"/>
            <w:r>
              <w:rPr>
                <w:rFonts w:ascii="Arial" w:hAnsi="Arial" w:cs="Arial"/>
              </w:rPr>
              <w:t>yyyy</w:t>
            </w:r>
            <w:proofErr w:type="spellEnd"/>
          </w:p>
        </w:tc>
      </w:tr>
      <w:tr w:rsidR="00324737" w:rsidRPr="00D03ED5" w14:paraId="1CE89AE2" w14:textId="77777777" w:rsidTr="394896D7">
        <w:trPr>
          <w:cnfStyle w:val="000000010000" w:firstRow="0" w:lastRow="0" w:firstColumn="0" w:lastColumn="0" w:oddVBand="0" w:evenVBand="0" w:oddHBand="0" w:evenHBand="1" w:firstRowFirstColumn="0" w:firstRowLastColumn="0" w:lastRowFirstColumn="0" w:lastRowLastColumn="0"/>
        </w:trPr>
        <w:tc>
          <w:tcPr>
            <w:tcW w:w="1559" w:type="dxa"/>
          </w:tcPr>
          <w:p w14:paraId="482DC47A" w14:textId="1512551F" w:rsidR="00324737" w:rsidRPr="00D03ED5" w:rsidRDefault="00324737" w:rsidP="00324737">
            <w:pPr>
              <w:pStyle w:val="NoSpacing"/>
              <w:spacing w:line="276" w:lineRule="auto"/>
              <w:jc w:val="left"/>
              <w:rPr>
                <w:rFonts w:ascii="Arial" w:hAnsi="Arial" w:cs="Arial"/>
              </w:rPr>
            </w:pPr>
            <w:r>
              <w:rPr>
                <w:rFonts w:ascii="Arial" w:hAnsi="Arial" w:cs="Arial"/>
              </w:rPr>
              <w:t>Gaining or Losing Supplier</w:t>
            </w:r>
          </w:p>
        </w:tc>
        <w:tc>
          <w:tcPr>
            <w:tcW w:w="2122" w:type="dxa"/>
          </w:tcPr>
          <w:p w14:paraId="1ED74D78" w14:textId="17FA517B" w:rsidR="00324737" w:rsidRPr="00D03ED5" w:rsidRDefault="00324737" w:rsidP="00324737">
            <w:pPr>
              <w:pStyle w:val="NoSpacing"/>
              <w:spacing w:line="276" w:lineRule="auto"/>
              <w:jc w:val="left"/>
              <w:rPr>
                <w:rFonts w:ascii="Arial" w:hAnsi="Arial" w:cs="Arial"/>
              </w:rPr>
            </w:pPr>
            <w:r>
              <w:rPr>
                <w:rFonts w:ascii="Arial" w:hAnsi="Arial" w:cs="Arial"/>
              </w:rPr>
              <w:t xml:space="preserve">Invalid Supplier MPID – ES flow has been sent to an incorrect </w:t>
            </w:r>
            <w:r w:rsidR="00AB67DE">
              <w:rPr>
                <w:rFonts w:ascii="Arial" w:hAnsi="Arial" w:cs="Arial"/>
              </w:rPr>
              <w:t>Energy S</w:t>
            </w:r>
            <w:r>
              <w:rPr>
                <w:rFonts w:ascii="Arial" w:hAnsi="Arial" w:cs="Arial"/>
              </w:rPr>
              <w:t>upplier</w:t>
            </w:r>
          </w:p>
        </w:tc>
        <w:tc>
          <w:tcPr>
            <w:tcW w:w="3080" w:type="dxa"/>
          </w:tcPr>
          <w:p w14:paraId="44C3C391" w14:textId="0582BCC6" w:rsidR="00324737" w:rsidRPr="00D03ED5" w:rsidRDefault="00324737" w:rsidP="00324737">
            <w:pPr>
              <w:pStyle w:val="NoSpacing"/>
              <w:spacing w:line="276" w:lineRule="auto"/>
              <w:jc w:val="left"/>
              <w:rPr>
                <w:rFonts w:ascii="Arial" w:hAnsi="Arial" w:cs="Arial"/>
              </w:rPr>
            </w:pPr>
            <w:r>
              <w:rPr>
                <w:rFonts w:ascii="Arial" w:hAnsi="Arial" w:cs="Arial"/>
              </w:rPr>
              <w:t xml:space="preserve">Y – as the </w:t>
            </w:r>
            <w:r w:rsidR="00AB67DE">
              <w:rPr>
                <w:rFonts w:ascii="Arial" w:hAnsi="Arial" w:cs="Arial"/>
              </w:rPr>
              <w:t>Energy S</w:t>
            </w:r>
            <w:r>
              <w:rPr>
                <w:rFonts w:ascii="Arial" w:hAnsi="Arial" w:cs="Arial"/>
              </w:rPr>
              <w:t>upplier has no relationship with the MPXN as part of the ES. This can include MPIDs in a company group as ES should be raised to the MPID at the time of the ES.</w:t>
            </w:r>
          </w:p>
        </w:tc>
        <w:tc>
          <w:tcPr>
            <w:tcW w:w="2255" w:type="dxa"/>
          </w:tcPr>
          <w:p w14:paraId="25327CC0" w14:textId="1DF05371" w:rsidR="00324737" w:rsidRPr="00D03ED5" w:rsidRDefault="00324737" w:rsidP="00324737">
            <w:pPr>
              <w:pStyle w:val="NoSpacing"/>
              <w:spacing w:line="276" w:lineRule="auto"/>
              <w:jc w:val="left"/>
              <w:rPr>
                <w:rFonts w:ascii="Arial" w:hAnsi="Arial" w:cs="Arial"/>
              </w:rPr>
            </w:pPr>
            <w:r>
              <w:rPr>
                <w:rFonts w:ascii="Arial" w:hAnsi="Arial" w:cs="Arial"/>
              </w:rPr>
              <w:t>Incorrect MPID</w:t>
            </w:r>
          </w:p>
        </w:tc>
      </w:tr>
      <w:tr w:rsidR="00324737" w:rsidRPr="00D03ED5" w14:paraId="65536BA9" w14:textId="77777777" w:rsidTr="394896D7">
        <w:trPr>
          <w:cnfStyle w:val="000000100000" w:firstRow="0" w:lastRow="0" w:firstColumn="0" w:lastColumn="0" w:oddVBand="0" w:evenVBand="0" w:oddHBand="1" w:evenHBand="0" w:firstRowFirstColumn="0" w:firstRowLastColumn="0" w:lastRowFirstColumn="0" w:lastRowLastColumn="0"/>
        </w:trPr>
        <w:tc>
          <w:tcPr>
            <w:tcW w:w="1559" w:type="dxa"/>
          </w:tcPr>
          <w:p w14:paraId="228A8E5E" w14:textId="732555A7" w:rsidR="00324737" w:rsidRPr="00D03ED5" w:rsidRDefault="00964DCB" w:rsidP="00324737">
            <w:pPr>
              <w:pStyle w:val="NoSpacing"/>
              <w:spacing w:line="276" w:lineRule="auto"/>
              <w:jc w:val="left"/>
              <w:rPr>
                <w:rFonts w:ascii="Arial" w:hAnsi="Arial" w:cs="Arial"/>
              </w:rPr>
            </w:pPr>
            <w:r>
              <w:rPr>
                <w:rFonts w:ascii="Arial" w:hAnsi="Arial" w:cs="Arial"/>
              </w:rPr>
              <w:t>Gaining or Losing Supplier</w:t>
            </w:r>
          </w:p>
        </w:tc>
        <w:tc>
          <w:tcPr>
            <w:tcW w:w="2122" w:type="dxa"/>
          </w:tcPr>
          <w:p w14:paraId="388483D1" w14:textId="6D8B1D4A" w:rsidR="00324737" w:rsidRPr="00D03ED5" w:rsidRDefault="00124B5B" w:rsidP="00324737">
            <w:pPr>
              <w:pStyle w:val="NoSpacing"/>
              <w:spacing w:line="276" w:lineRule="auto"/>
              <w:jc w:val="left"/>
              <w:rPr>
                <w:rFonts w:ascii="Arial" w:hAnsi="Arial" w:cs="Arial"/>
              </w:rPr>
            </w:pPr>
            <w:r>
              <w:rPr>
                <w:rFonts w:ascii="Arial" w:hAnsi="Arial" w:cs="Arial"/>
              </w:rPr>
              <w:t>2 years + since the date of the ES</w:t>
            </w:r>
          </w:p>
        </w:tc>
        <w:tc>
          <w:tcPr>
            <w:tcW w:w="3080" w:type="dxa"/>
          </w:tcPr>
          <w:p w14:paraId="7A4562FE" w14:textId="620E8771" w:rsidR="00324737" w:rsidRDefault="48B9B47F" w:rsidP="00324737">
            <w:pPr>
              <w:pStyle w:val="NoSpacing"/>
              <w:spacing w:line="276" w:lineRule="auto"/>
              <w:jc w:val="left"/>
              <w:rPr>
                <w:rFonts w:ascii="Arial" w:hAnsi="Arial" w:cs="Arial"/>
              </w:rPr>
            </w:pPr>
            <w:r w:rsidRPr="394896D7">
              <w:rPr>
                <w:rFonts w:ascii="Arial" w:hAnsi="Arial" w:cs="Arial"/>
              </w:rPr>
              <w:t xml:space="preserve">Y </w:t>
            </w:r>
            <w:r w:rsidR="7DB2BDFF" w:rsidRPr="394896D7">
              <w:rPr>
                <w:rFonts w:ascii="Arial" w:hAnsi="Arial" w:cs="Arial"/>
              </w:rPr>
              <w:t xml:space="preserve">– if this is the first initiation – it should be agreed bilaterally that </w:t>
            </w:r>
            <w:r w:rsidR="79F307FC" w:rsidRPr="394896D7">
              <w:rPr>
                <w:rFonts w:ascii="Arial" w:hAnsi="Arial" w:cs="Arial"/>
              </w:rPr>
              <w:t>both</w:t>
            </w:r>
            <w:r w:rsidR="7DB2BDFF" w:rsidRPr="394896D7">
              <w:rPr>
                <w:rFonts w:ascii="Arial" w:hAnsi="Arial" w:cs="Arial"/>
              </w:rPr>
              <w:t xml:space="preserve"> </w:t>
            </w:r>
            <w:r w:rsidR="79F307FC" w:rsidRPr="394896D7">
              <w:rPr>
                <w:rFonts w:ascii="Arial" w:hAnsi="Arial" w:cs="Arial"/>
              </w:rPr>
              <w:t>the Energy</w:t>
            </w:r>
            <w:r w:rsidR="7DB2BDFF" w:rsidRPr="394896D7">
              <w:rPr>
                <w:rFonts w:ascii="Arial" w:hAnsi="Arial" w:cs="Arial"/>
              </w:rPr>
              <w:t xml:space="preserve"> Suppliers will investigate an ES that is </w:t>
            </w:r>
            <w:r w:rsidR="00F174DB">
              <w:rPr>
                <w:rFonts w:ascii="Arial" w:hAnsi="Arial" w:cs="Arial"/>
              </w:rPr>
              <w:t xml:space="preserve">older than </w:t>
            </w:r>
            <w:r w:rsidR="00AE704A">
              <w:rPr>
                <w:rFonts w:ascii="Arial" w:hAnsi="Arial" w:cs="Arial"/>
              </w:rPr>
              <w:t>24 months</w:t>
            </w:r>
            <w:r w:rsidR="00F174DB">
              <w:rPr>
                <w:rFonts w:ascii="Arial" w:hAnsi="Arial" w:cs="Arial"/>
              </w:rPr>
              <w:t xml:space="preserve"> since the </w:t>
            </w:r>
            <w:r w:rsidR="00AE704A">
              <w:rPr>
                <w:rFonts w:ascii="Arial" w:hAnsi="Arial" w:cs="Arial"/>
              </w:rPr>
              <w:t>E</w:t>
            </w:r>
            <w:r w:rsidR="009E57F6">
              <w:rPr>
                <w:rFonts w:ascii="Arial" w:hAnsi="Arial" w:cs="Arial"/>
              </w:rPr>
              <w:t xml:space="preserve">rroneous </w:t>
            </w:r>
            <w:r w:rsidR="00AE704A">
              <w:rPr>
                <w:rFonts w:ascii="Arial" w:hAnsi="Arial" w:cs="Arial"/>
              </w:rPr>
              <w:t>S</w:t>
            </w:r>
            <w:r w:rsidR="009E57F6">
              <w:rPr>
                <w:rFonts w:ascii="Arial" w:hAnsi="Arial" w:cs="Arial"/>
              </w:rPr>
              <w:t>witch</w:t>
            </w:r>
            <w:r w:rsidR="7DB2BDFF" w:rsidRPr="394896D7">
              <w:rPr>
                <w:rFonts w:ascii="Arial" w:hAnsi="Arial" w:cs="Arial"/>
              </w:rPr>
              <w:t>.</w:t>
            </w:r>
          </w:p>
          <w:p w14:paraId="4EC1B055" w14:textId="2D41D4ED" w:rsidR="00FC0076" w:rsidRPr="00D03ED5" w:rsidRDefault="2C3B8774" w:rsidP="00324737">
            <w:pPr>
              <w:pStyle w:val="NoSpacing"/>
              <w:spacing w:line="276" w:lineRule="auto"/>
              <w:jc w:val="left"/>
              <w:rPr>
                <w:rFonts w:ascii="Arial" w:hAnsi="Arial" w:cs="Arial"/>
              </w:rPr>
            </w:pPr>
            <w:r w:rsidRPr="394896D7">
              <w:rPr>
                <w:rFonts w:ascii="Arial" w:hAnsi="Arial" w:cs="Arial"/>
              </w:rPr>
              <w:t>N – if it is not the first initiation</w:t>
            </w:r>
            <w:r w:rsidR="009E57F6">
              <w:rPr>
                <w:rFonts w:ascii="Arial" w:hAnsi="Arial" w:cs="Arial"/>
              </w:rPr>
              <w:t xml:space="preserve"> – this means if an ES has been raised and rejected or not responded to within the </w:t>
            </w:r>
            <w:r w:rsidR="00AE704A">
              <w:rPr>
                <w:rFonts w:ascii="Arial" w:hAnsi="Arial" w:cs="Arial"/>
              </w:rPr>
              <w:t>24 months</w:t>
            </w:r>
            <w:r w:rsidR="009E57F6">
              <w:rPr>
                <w:rFonts w:ascii="Arial" w:hAnsi="Arial" w:cs="Arial"/>
              </w:rPr>
              <w:t xml:space="preserve"> since the </w:t>
            </w:r>
            <w:r w:rsidR="00AE704A">
              <w:rPr>
                <w:rFonts w:ascii="Arial" w:hAnsi="Arial" w:cs="Arial"/>
              </w:rPr>
              <w:t>E</w:t>
            </w:r>
            <w:r w:rsidR="009E57F6">
              <w:rPr>
                <w:rFonts w:ascii="Arial" w:hAnsi="Arial" w:cs="Arial"/>
              </w:rPr>
              <w:t xml:space="preserve">rroneous </w:t>
            </w:r>
            <w:r w:rsidR="00AE704A">
              <w:rPr>
                <w:rFonts w:ascii="Arial" w:hAnsi="Arial" w:cs="Arial"/>
              </w:rPr>
              <w:t>S</w:t>
            </w:r>
            <w:r w:rsidR="009E57F6">
              <w:rPr>
                <w:rFonts w:ascii="Arial" w:hAnsi="Arial" w:cs="Arial"/>
              </w:rPr>
              <w:t>witch</w:t>
            </w:r>
            <w:r w:rsidRPr="394896D7">
              <w:rPr>
                <w:rFonts w:ascii="Arial" w:hAnsi="Arial" w:cs="Arial"/>
              </w:rPr>
              <w:t>. Normal validation rules should apply</w:t>
            </w:r>
            <w:r w:rsidR="6425813F" w:rsidRPr="394896D7">
              <w:rPr>
                <w:rFonts w:ascii="Arial" w:hAnsi="Arial" w:cs="Arial"/>
              </w:rPr>
              <w:t>.</w:t>
            </w:r>
          </w:p>
        </w:tc>
        <w:tc>
          <w:tcPr>
            <w:tcW w:w="2255" w:type="dxa"/>
          </w:tcPr>
          <w:p w14:paraId="4A2512F8" w14:textId="03C9F13E" w:rsidR="00324737" w:rsidRDefault="008F40A6" w:rsidP="00324737">
            <w:pPr>
              <w:pStyle w:val="NoSpacing"/>
              <w:spacing w:line="276" w:lineRule="auto"/>
              <w:jc w:val="left"/>
              <w:rPr>
                <w:rFonts w:ascii="Arial" w:hAnsi="Arial" w:cs="Arial"/>
              </w:rPr>
            </w:pPr>
            <w:r>
              <w:rPr>
                <w:rFonts w:ascii="Arial" w:hAnsi="Arial" w:cs="Arial"/>
              </w:rPr>
              <w:t>Over</w:t>
            </w:r>
            <w:r w:rsidR="008D2355">
              <w:rPr>
                <w:rFonts w:ascii="Arial" w:hAnsi="Arial" w:cs="Arial"/>
              </w:rPr>
              <w:t xml:space="preserve"> </w:t>
            </w:r>
            <w:r w:rsidR="00AE704A">
              <w:rPr>
                <w:rFonts w:ascii="Arial" w:hAnsi="Arial" w:cs="Arial"/>
              </w:rPr>
              <w:t>24 Months</w:t>
            </w:r>
            <w:r w:rsidR="00B321C9">
              <w:rPr>
                <w:rFonts w:ascii="Arial" w:hAnsi="Arial" w:cs="Arial"/>
              </w:rPr>
              <w:t>–</w:t>
            </w:r>
            <w:r>
              <w:rPr>
                <w:rFonts w:ascii="Arial" w:hAnsi="Arial" w:cs="Arial"/>
              </w:rPr>
              <w:t xml:space="preserve"> contact</w:t>
            </w:r>
            <w:r w:rsidR="00B321C9">
              <w:rPr>
                <w:rFonts w:ascii="Arial" w:hAnsi="Arial" w:cs="Arial"/>
              </w:rPr>
              <w:t xml:space="preserve"> us via SDEP to discuss options.</w:t>
            </w:r>
          </w:p>
          <w:p w14:paraId="6DF9070F" w14:textId="77777777" w:rsidR="00B321C9" w:rsidRDefault="00B321C9" w:rsidP="00324737">
            <w:pPr>
              <w:pStyle w:val="NoSpacing"/>
              <w:spacing w:line="276" w:lineRule="auto"/>
              <w:jc w:val="left"/>
              <w:rPr>
                <w:rFonts w:ascii="Arial" w:hAnsi="Arial" w:cs="Arial"/>
              </w:rPr>
            </w:pPr>
          </w:p>
          <w:p w14:paraId="1ED23962" w14:textId="77777777" w:rsidR="00B321C9" w:rsidRDefault="00B321C9" w:rsidP="00324737">
            <w:pPr>
              <w:pStyle w:val="NoSpacing"/>
              <w:spacing w:line="276" w:lineRule="auto"/>
              <w:jc w:val="left"/>
              <w:rPr>
                <w:rFonts w:ascii="Arial" w:hAnsi="Arial" w:cs="Arial"/>
              </w:rPr>
            </w:pPr>
          </w:p>
          <w:p w14:paraId="74A1945F" w14:textId="098D17CF" w:rsidR="00B321C9" w:rsidRDefault="00AC1518" w:rsidP="00324737">
            <w:pPr>
              <w:pStyle w:val="NoSpacing"/>
              <w:spacing w:line="276" w:lineRule="auto"/>
              <w:jc w:val="left"/>
              <w:rPr>
                <w:rFonts w:ascii="Arial" w:hAnsi="Arial" w:cs="Arial"/>
              </w:rPr>
            </w:pPr>
            <w:r>
              <w:rPr>
                <w:rFonts w:ascii="Arial" w:hAnsi="Arial" w:cs="Arial"/>
              </w:rPr>
              <w:t>N/A</w:t>
            </w:r>
          </w:p>
          <w:p w14:paraId="77968AB0" w14:textId="3571E972" w:rsidR="00B321C9" w:rsidRPr="00D03ED5" w:rsidRDefault="00B321C9" w:rsidP="00324737">
            <w:pPr>
              <w:pStyle w:val="NoSpacing"/>
              <w:spacing w:line="276" w:lineRule="auto"/>
              <w:jc w:val="left"/>
              <w:rPr>
                <w:rFonts w:ascii="Arial" w:hAnsi="Arial" w:cs="Arial"/>
              </w:rPr>
            </w:pPr>
          </w:p>
        </w:tc>
      </w:tr>
      <w:tr w:rsidR="005264A4" w:rsidRPr="00D03ED5" w14:paraId="69D2F537" w14:textId="77777777" w:rsidTr="394896D7">
        <w:trPr>
          <w:cnfStyle w:val="000000010000" w:firstRow="0" w:lastRow="0" w:firstColumn="0" w:lastColumn="0" w:oddVBand="0" w:evenVBand="0" w:oddHBand="0" w:evenHBand="1" w:firstRowFirstColumn="0" w:firstRowLastColumn="0" w:lastRowFirstColumn="0" w:lastRowLastColumn="0"/>
        </w:trPr>
        <w:tc>
          <w:tcPr>
            <w:tcW w:w="1559" w:type="dxa"/>
          </w:tcPr>
          <w:p w14:paraId="1D845A9D" w14:textId="3F7D9B5C" w:rsidR="005264A4" w:rsidRDefault="00DA2089" w:rsidP="00964DCB">
            <w:pPr>
              <w:pStyle w:val="NoSpacing"/>
              <w:spacing w:after="120" w:line="276" w:lineRule="auto"/>
              <w:jc w:val="left"/>
              <w:rPr>
                <w:rFonts w:ascii="Arial" w:hAnsi="Arial" w:cs="Arial"/>
              </w:rPr>
            </w:pPr>
            <w:r>
              <w:rPr>
                <w:rFonts w:ascii="Arial" w:hAnsi="Arial" w:cs="Arial"/>
              </w:rPr>
              <w:t>Gaining or Losing Supplier</w:t>
            </w:r>
          </w:p>
        </w:tc>
        <w:tc>
          <w:tcPr>
            <w:tcW w:w="2122" w:type="dxa"/>
          </w:tcPr>
          <w:p w14:paraId="79950562" w14:textId="04190153" w:rsidR="005264A4" w:rsidRDefault="00DA2089" w:rsidP="00964DCB">
            <w:pPr>
              <w:pStyle w:val="NoSpacing"/>
              <w:spacing w:line="276" w:lineRule="auto"/>
              <w:jc w:val="left"/>
              <w:rPr>
                <w:rFonts w:ascii="Arial" w:hAnsi="Arial" w:cs="Arial"/>
              </w:rPr>
            </w:pPr>
            <w:r w:rsidRPr="00DA2089">
              <w:rPr>
                <w:rFonts w:ascii="Arial" w:hAnsi="Arial" w:cs="Arial"/>
              </w:rPr>
              <w:t xml:space="preserve">Address </w:t>
            </w:r>
            <w:r w:rsidR="008B337E">
              <w:rPr>
                <w:rFonts w:ascii="Arial" w:hAnsi="Arial" w:cs="Arial"/>
              </w:rPr>
              <w:t>is not an exact match for the MPL on</w:t>
            </w:r>
            <w:r w:rsidRPr="00DA2089">
              <w:rPr>
                <w:rFonts w:ascii="Arial" w:hAnsi="Arial" w:cs="Arial"/>
              </w:rPr>
              <w:t xml:space="preserve"> EES</w:t>
            </w:r>
            <w:r>
              <w:rPr>
                <w:rFonts w:ascii="Arial" w:hAnsi="Arial" w:cs="Arial"/>
              </w:rPr>
              <w:t xml:space="preserve"> or GES</w:t>
            </w:r>
          </w:p>
        </w:tc>
        <w:tc>
          <w:tcPr>
            <w:tcW w:w="3080" w:type="dxa"/>
          </w:tcPr>
          <w:p w14:paraId="64FC8453" w14:textId="54B75C73" w:rsidR="005264A4" w:rsidRDefault="5B2E2F6C" w:rsidP="00964DCB">
            <w:pPr>
              <w:pStyle w:val="NoSpacing"/>
              <w:spacing w:line="276" w:lineRule="auto"/>
              <w:jc w:val="left"/>
              <w:rPr>
                <w:rFonts w:ascii="Arial" w:hAnsi="Arial" w:cs="Arial"/>
              </w:rPr>
            </w:pPr>
            <w:r w:rsidRPr="394896D7">
              <w:rPr>
                <w:rFonts w:ascii="Arial" w:hAnsi="Arial" w:cs="Arial"/>
              </w:rPr>
              <w:t xml:space="preserve">Y - </w:t>
            </w:r>
            <w:r w:rsidR="65CC8184" w:rsidRPr="394896D7">
              <w:rPr>
                <w:rFonts w:ascii="Arial" w:hAnsi="Arial" w:cs="Arial"/>
              </w:rPr>
              <w:t xml:space="preserve">The MPL should be used to populate the RET / D0301 </w:t>
            </w:r>
            <w:r w:rsidRPr="394896D7">
              <w:rPr>
                <w:rFonts w:ascii="Arial" w:hAnsi="Arial" w:cs="Arial"/>
              </w:rPr>
              <w:t xml:space="preserve">(not the </w:t>
            </w:r>
            <w:r w:rsidR="478A7B67" w:rsidRPr="394896D7">
              <w:rPr>
                <w:rFonts w:ascii="Arial" w:hAnsi="Arial" w:cs="Arial"/>
              </w:rPr>
              <w:t>C</w:t>
            </w:r>
            <w:r w:rsidRPr="394896D7">
              <w:rPr>
                <w:rFonts w:ascii="Arial" w:hAnsi="Arial" w:cs="Arial"/>
              </w:rPr>
              <w:t xml:space="preserve">onsumer’s billing address) </w:t>
            </w:r>
            <w:r w:rsidR="65CC8184" w:rsidRPr="394896D7">
              <w:rPr>
                <w:rFonts w:ascii="Arial" w:hAnsi="Arial" w:cs="Arial"/>
              </w:rPr>
              <w:t xml:space="preserve">so if the address does not </w:t>
            </w:r>
            <w:r w:rsidR="003E66C8">
              <w:rPr>
                <w:rFonts w:ascii="Arial" w:hAnsi="Arial" w:cs="Arial"/>
              </w:rPr>
              <w:t xml:space="preserve">exactly </w:t>
            </w:r>
            <w:r w:rsidR="65CC8184" w:rsidRPr="394896D7">
              <w:rPr>
                <w:rFonts w:ascii="Arial" w:hAnsi="Arial" w:cs="Arial"/>
              </w:rPr>
              <w:t xml:space="preserve">match it suggests the ES has been raised on the incorrect MPXN. However, </w:t>
            </w:r>
            <w:r w:rsidRPr="394896D7">
              <w:rPr>
                <w:rFonts w:ascii="Arial" w:hAnsi="Arial" w:cs="Arial"/>
              </w:rPr>
              <w:t>spelling mistakes can happen</w:t>
            </w:r>
          </w:p>
        </w:tc>
        <w:tc>
          <w:tcPr>
            <w:tcW w:w="2255" w:type="dxa"/>
          </w:tcPr>
          <w:p w14:paraId="466D4A94" w14:textId="49E9609E" w:rsidR="005264A4" w:rsidRDefault="00DE76AF" w:rsidP="00964DCB">
            <w:pPr>
              <w:pStyle w:val="NoSpacing"/>
              <w:spacing w:line="276" w:lineRule="auto"/>
              <w:jc w:val="left"/>
              <w:rPr>
                <w:rFonts w:ascii="Arial" w:hAnsi="Arial" w:cs="Arial"/>
              </w:rPr>
            </w:pPr>
            <w:r>
              <w:rPr>
                <w:rFonts w:ascii="Arial" w:hAnsi="Arial" w:cs="Arial"/>
              </w:rPr>
              <w:t>Address does not match MPXN address on EES / GES</w:t>
            </w:r>
          </w:p>
        </w:tc>
      </w:tr>
      <w:tr w:rsidR="005264A4" w:rsidRPr="00D03ED5" w14:paraId="0D0D6712" w14:textId="77777777" w:rsidTr="394896D7">
        <w:trPr>
          <w:cnfStyle w:val="000000100000" w:firstRow="0" w:lastRow="0" w:firstColumn="0" w:lastColumn="0" w:oddVBand="0" w:evenVBand="0" w:oddHBand="1" w:evenHBand="0" w:firstRowFirstColumn="0" w:firstRowLastColumn="0" w:lastRowFirstColumn="0" w:lastRowLastColumn="0"/>
        </w:trPr>
        <w:tc>
          <w:tcPr>
            <w:tcW w:w="1559" w:type="dxa"/>
          </w:tcPr>
          <w:p w14:paraId="3AEA42A2" w14:textId="0E173D0A" w:rsidR="005264A4" w:rsidRDefault="004D59BB" w:rsidP="00964DCB">
            <w:pPr>
              <w:pStyle w:val="NoSpacing"/>
              <w:spacing w:line="276" w:lineRule="auto"/>
              <w:jc w:val="left"/>
              <w:rPr>
                <w:rFonts w:ascii="Arial" w:hAnsi="Arial" w:cs="Arial"/>
              </w:rPr>
            </w:pPr>
            <w:r>
              <w:rPr>
                <w:rFonts w:ascii="Arial" w:hAnsi="Arial" w:cs="Arial"/>
              </w:rPr>
              <w:t>Gaining or Losing Supplier</w:t>
            </w:r>
          </w:p>
        </w:tc>
        <w:tc>
          <w:tcPr>
            <w:tcW w:w="2122" w:type="dxa"/>
          </w:tcPr>
          <w:p w14:paraId="480B0E1A" w14:textId="413121FB" w:rsidR="005264A4" w:rsidRDefault="00B84364" w:rsidP="00B84364">
            <w:pPr>
              <w:pStyle w:val="NoSpacing"/>
              <w:spacing w:line="276" w:lineRule="auto"/>
              <w:jc w:val="left"/>
              <w:rPr>
                <w:rFonts w:ascii="Arial" w:hAnsi="Arial" w:cs="Arial"/>
              </w:rPr>
            </w:pPr>
            <w:r w:rsidRPr="00B84364">
              <w:rPr>
                <w:rFonts w:ascii="Arial" w:hAnsi="Arial" w:cs="Arial"/>
              </w:rPr>
              <w:t xml:space="preserve">No </w:t>
            </w:r>
            <w:r w:rsidR="00AC1518">
              <w:rPr>
                <w:rFonts w:ascii="Arial" w:hAnsi="Arial" w:cs="Arial"/>
              </w:rPr>
              <w:t>Consumer</w:t>
            </w:r>
            <w:r w:rsidRPr="00B84364">
              <w:rPr>
                <w:rFonts w:ascii="Arial" w:hAnsi="Arial" w:cs="Arial"/>
              </w:rPr>
              <w:t xml:space="preserve"> contact / If </w:t>
            </w:r>
            <w:r w:rsidR="00AC1518">
              <w:rPr>
                <w:rFonts w:ascii="Arial" w:hAnsi="Arial" w:cs="Arial"/>
              </w:rPr>
              <w:t>Consumer</w:t>
            </w:r>
            <w:r w:rsidRPr="00B84364">
              <w:rPr>
                <w:rFonts w:ascii="Arial" w:hAnsi="Arial" w:cs="Arial"/>
              </w:rPr>
              <w:t xml:space="preserve"> wants to come back</w:t>
            </w:r>
            <w:r w:rsidR="00AC1518" w:rsidRPr="00B84364">
              <w:rPr>
                <w:rFonts w:ascii="Arial" w:hAnsi="Arial" w:cs="Arial"/>
              </w:rPr>
              <w:t>;</w:t>
            </w:r>
            <w:r w:rsidRPr="00B84364">
              <w:rPr>
                <w:rFonts w:ascii="Arial" w:hAnsi="Arial" w:cs="Arial"/>
              </w:rPr>
              <w:t xml:space="preserve"> they need to contact us</w:t>
            </w:r>
            <w:r w:rsidR="00AC1518">
              <w:rPr>
                <w:rFonts w:ascii="Arial" w:hAnsi="Arial" w:cs="Arial"/>
              </w:rPr>
              <w:t>.</w:t>
            </w:r>
          </w:p>
        </w:tc>
        <w:tc>
          <w:tcPr>
            <w:tcW w:w="3080" w:type="dxa"/>
          </w:tcPr>
          <w:p w14:paraId="6B28DFB2" w14:textId="2049D1D9" w:rsidR="005264A4" w:rsidRDefault="00AD554C" w:rsidP="00B84364">
            <w:pPr>
              <w:pStyle w:val="NoSpacing"/>
              <w:spacing w:line="276" w:lineRule="auto"/>
              <w:jc w:val="left"/>
              <w:rPr>
                <w:rFonts w:ascii="Arial" w:hAnsi="Arial" w:cs="Arial"/>
              </w:rPr>
            </w:pPr>
            <w:r>
              <w:rPr>
                <w:rFonts w:ascii="Arial" w:hAnsi="Arial" w:cs="Arial"/>
              </w:rPr>
              <w:t xml:space="preserve">N – the ES process is built on </w:t>
            </w:r>
            <w:r w:rsidR="00AC1518">
              <w:rPr>
                <w:rFonts w:ascii="Arial" w:hAnsi="Arial" w:cs="Arial"/>
              </w:rPr>
              <w:t>C</w:t>
            </w:r>
            <w:r>
              <w:rPr>
                <w:rFonts w:ascii="Arial" w:hAnsi="Arial" w:cs="Arial"/>
              </w:rPr>
              <w:t xml:space="preserve">onsumer </w:t>
            </w:r>
            <w:r w:rsidR="00162FD2">
              <w:rPr>
                <w:rFonts w:ascii="Arial" w:hAnsi="Arial" w:cs="Arial"/>
              </w:rPr>
              <w:t xml:space="preserve">only having to contact </w:t>
            </w:r>
            <w:r w:rsidR="00AC1518">
              <w:rPr>
                <w:rFonts w:ascii="Arial" w:hAnsi="Arial" w:cs="Arial"/>
              </w:rPr>
              <w:t>one Energy S</w:t>
            </w:r>
            <w:r w:rsidR="00162FD2">
              <w:rPr>
                <w:rFonts w:ascii="Arial" w:hAnsi="Arial" w:cs="Arial"/>
              </w:rPr>
              <w:t>upplier. This can include requesting no contact as part of the RET / D0301 flow.</w:t>
            </w:r>
          </w:p>
        </w:tc>
        <w:tc>
          <w:tcPr>
            <w:tcW w:w="2255" w:type="dxa"/>
          </w:tcPr>
          <w:p w14:paraId="1A1AB138" w14:textId="0C910581" w:rsidR="005264A4" w:rsidRDefault="00F10E8C" w:rsidP="00B84364">
            <w:pPr>
              <w:pStyle w:val="NoSpacing"/>
              <w:spacing w:line="276" w:lineRule="auto"/>
              <w:jc w:val="left"/>
              <w:rPr>
                <w:rFonts w:ascii="Arial" w:hAnsi="Arial" w:cs="Arial"/>
              </w:rPr>
            </w:pPr>
            <w:r>
              <w:rPr>
                <w:rFonts w:ascii="Arial" w:hAnsi="Arial" w:cs="Arial"/>
              </w:rPr>
              <w:t>N/A</w:t>
            </w:r>
          </w:p>
        </w:tc>
      </w:tr>
      <w:tr w:rsidR="005264A4" w:rsidRPr="00D03ED5" w14:paraId="6D58F18F" w14:textId="77777777" w:rsidTr="394896D7">
        <w:trPr>
          <w:cnfStyle w:val="000000010000" w:firstRow="0" w:lastRow="0" w:firstColumn="0" w:lastColumn="0" w:oddVBand="0" w:evenVBand="0" w:oddHBand="0" w:evenHBand="1" w:firstRowFirstColumn="0" w:firstRowLastColumn="0" w:lastRowFirstColumn="0" w:lastRowLastColumn="0"/>
        </w:trPr>
        <w:tc>
          <w:tcPr>
            <w:tcW w:w="1559" w:type="dxa"/>
          </w:tcPr>
          <w:p w14:paraId="5C0ADA8F" w14:textId="10BF097D" w:rsidR="005264A4" w:rsidRDefault="004D59BB" w:rsidP="00964DCB">
            <w:pPr>
              <w:pStyle w:val="NoSpacing"/>
              <w:spacing w:after="120" w:line="276" w:lineRule="auto"/>
              <w:jc w:val="left"/>
              <w:rPr>
                <w:rFonts w:ascii="Arial" w:hAnsi="Arial" w:cs="Arial"/>
              </w:rPr>
            </w:pPr>
            <w:r>
              <w:rPr>
                <w:rFonts w:ascii="Arial" w:hAnsi="Arial" w:cs="Arial"/>
              </w:rPr>
              <w:t xml:space="preserve">Gaining </w:t>
            </w:r>
            <w:r w:rsidR="0070006C">
              <w:rPr>
                <w:rFonts w:ascii="Arial" w:hAnsi="Arial" w:cs="Arial"/>
              </w:rPr>
              <w:t>Supplier</w:t>
            </w:r>
          </w:p>
        </w:tc>
        <w:tc>
          <w:tcPr>
            <w:tcW w:w="2122" w:type="dxa"/>
          </w:tcPr>
          <w:p w14:paraId="276F9344" w14:textId="00F8DF61" w:rsidR="005264A4" w:rsidRDefault="005061A2" w:rsidP="00E802C6">
            <w:pPr>
              <w:pStyle w:val="NoSpacing"/>
              <w:spacing w:line="276" w:lineRule="auto"/>
              <w:jc w:val="left"/>
              <w:rPr>
                <w:rFonts w:ascii="Arial" w:hAnsi="Arial" w:cs="Arial"/>
              </w:rPr>
            </w:pPr>
            <w:r>
              <w:rPr>
                <w:rFonts w:ascii="Arial" w:hAnsi="Arial" w:cs="Arial"/>
              </w:rPr>
              <w:t>T</w:t>
            </w:r>
            <w:r w:rsidR="00E802C6" w:rsidRPr="00E802C6">
              <w:rPr>
                <w:rFonts w:ascii="Arial" w:hAnsi="Arial" w:cs="Arial"/>
              </w:rPr>
              <w:t>he account is in an occupier name / name</w:t>
            </w:r>
            <w:r w:rsidR="002B1A80">
              <w:rPr>
                <w:rFonts w:ascii="Arial" w:hAnsi="Arial" w:cs="Arial"/>
              </w:rPr>
              <w:t xml:space="preserve"> on the RET / D0301</w:t>
            </w:r>
            <w:r w:rsidR="00E802C6" w:rsidRPr="00E802C6">
              <w:rPr>
                <w:rFonts w:ascii="Arial" w:hAnsi="Arial" w:cs="Arial"/>
              </w:rPr>
              <w:t xml:space="preserve"> does not match our records</w:t>
            </w:r>
          </w:p>
        </w:tc>
        <w:tc>
          <w:tcPr>
            <w:tcW w:w="3080" w:type="dxa"/>
          </w:tcPr>
          <w:p w14:paraId="5F142B9E" w14:textId="77777777" w:rsidR="005264A4" w:rsidRDefault="008D7582" w:rsidP="00964DCB">
            <w:pPr>
              <w:pStyle w:val="NoSpacing"/>
              <w:spacing w:line="276" w:lineRule="auto"/>
              <w:jc w:val="left"/>
              <w:rPr>
                <w:rFonts w:ascii="Arial" w:hAnsi="Arial" w:cs="Arial"/>
              </w:rPr>
            </w:pPr>
            <w:r>
              <w:rPr>
                <w:rFonts w:ascii="Arial" w:hAnsi="Arial" w:cs="Arial"/>
              </w:rPr>
              <w:t xml:space="preserve">Depends on ES reason.  </w:t>
            </w:r>
          </w:p>
          <w:p w14:paraId="724DE6AA" w14:textId="77777777" w:rsidR="008D7582" w:rsidRDefault="008D7582" w:rsidP="00964DCB">
            <w:pPr>
              <w:pStyle w:val="NoSpacing"/>
              <w:spacing w:line="276" w:lineRule="auto"/>
              <w:jc w:val="left"/>
              <w:rPr>
                <w:rFonts w:ascii="Arial" w:hAnsi="Arial" w:cs="Arial"/>
              </w:rPr>
            </w:pPr>
            <w:r>
              <w:rPr>
                <w:rFonts w:ascii="Arial" w:hAnsi="Arial" w:cs="Arial"/>
              </w:rPr>
              <w:t xml:space="preserve">N – if flagged as “Incorrect MPXN” as </w:t>
            </w:r>
            <w:r w:rsidR="000B48CE">
              <w:rPr>
                <w:rFonts w:ascii="Arial" w:hAnsi="Arial" w:cs="Arial"/>
              </w:rPr>
              <w:t>these will be different details.</w:t>
            </w:r>
          </w:p>
          <w:p w14:paraId="7FB47F89" w14:textId="77777777" w:rsidR="000B48CE" w:rsidRDefault="21893091" w:rsidP="00964DCB">
            <w:pPr>
              <w:pStyle w:val="NoSpacing"/>
              <w:spacing w:line="276" w:lineRule="auto"/>
              <w:jc w:val="left"/>
              <w:rPr>
                <w:rFonts w:ascii="Arial" w:hAnsi="Arial" w:cs="Arial"/>
              </w:rPr>
            </w:pPr>
            <w:r w:rsidRPr="394896D7">
              <w:rPr>
                <w:rFonts w:ascii="Arial" w:hAnsi="Arial" w:cs="Arial"/>
              </w:rPr>
              <w:t>All other ES reasons could potentially be a valid rejection but need to consider if a C</w:t>
            </w:r>
            <w:r w:rsidR="00D11DB1">
              <w:rPr>
                <w:rFonts w:ascii="Arial" w:hAnsi="Arial" w:cs="Arial"/>
              </w:rPr>
              <w:t xml:space="preserve">hange of </w:t>
            </w:r>
            <w:r w:rsidRPr="394896D7">
              <w:rPr>
                <w:rFonts w:ascii="Arial" w:hAnsi="Arial" w:cs="Arial"/>
              </w:rPr>
              <w:t>O</w:t>
            </w:r>
            <w:r w:rsidR="00E14AED">
              <w:rPr>
                <w:rFonts w:ascii="Arial" w:hAnsi="Arial" w:cs="Arial"/>
              </w:rPr>
              <w:t>ccupier (</w:t>
            </w:r>
            <w:proofErr w:type="spellStart"/>
            <w:r w:rsidR="00E14AED">
              <w:rPr>
                <w:rFonts w:ascii="Arial" w:hAnsi="Arial" w:cs="Arial"/>
              </w:rPr>
              <w:t>CoO</w:t>
            </w:r>
            <w:proofErr w:type="spellEnd"/>
            <w:r w:rsidR="00E14AED">
              <w:rPr>
                <w:rFonts w:ascii="Arial" w:hAnsi="Arial" w:cs="Arial"/>
              </w:rPr>
              <w:t>)</w:t>
            </w:r>
            <w:r w:rsidRPr="394896D7">
              <w:rPr>
                <w:rFonts w:ascii="Arial" w:hAnsi="Arial" w:cs="Arial"/>
              </w:rPr>
              <w:t xml:space="preserve"> has occurred</w:t>
            </w:r>
            <w:r w:rsidR="463277D1" w:rsidRPr="394896D7">
              <w:rPr>
                <w:rFonts w:ascii="Arial" w:hAnsi="Arial" w:cs="Arial"/>
              </w:rPr>
              <w:t>.</w:t>
            </w:r>
          </w:p>
          <w:p w14:paraId="7E716015" w14:textId="71312EB6" w:rsidR="00296DB4" w:rsidRDefault="002A6547" w:rsidP="00964DCB">
            <w:pPr>
              <w:pStyle w:val="NoSpacing"/>
              <w:spacing w:line="276" w:lineRule="auto"/>
              <w:jc w:val="left"/>
              <w:rPr>
                <w:rFonts w:ascii="Arial" w:hAnsi="Arial" w:cs="Arial"/>
              </w:rPr>
            </w:pPr>
            <w:proofErr w:type="spellStart"/>
            <w:r>
              <w:rPr>
                <w:rFonts w:ascii="Arial" w:hAnsi="Arial" w:cs="Arial"/>
              </w:rPr>
              <w:t>CoO</w:t>
            </w:r>
            <w:proofErr w:type="spellEnd"/>
            <w:r>
              <w:rPr>
                <w:rFonts w:ascii="Arial" w:hAnsi="Arial" w:cs="Arial"/>
              </w:rPr>
              <w:t xml:space="preserve"> / </w:t>
            </w:r>
            <w:proofErr w:type="spellStart"/>
            <w:r>
              <w:rPr>
                <w:rFonts w:ascii="Arial" w:hAnsi="Arial" w:cs="Arial"/>
              </w:rPr>
              <w:t>CoS</w:t>
            </w:r>
            <w:proofErr w:type="spellEnd"/>
            <w:r>
              <w:rPr>
                <w:rFonts w:ascii="Arial" w:hAnsi="Arial" w:cs="Arial"/>
              </w:rPr>
              <w:t xml:space="preserve"> may also include a change of contract type from Domestic to Non-Domestic or vice versa so it may be valid that the names do not match</w:t>
            </w:r>
          </w:p>
        </w:tc>
        <w:tc>
          <w:tcPr>
            <w:tcW w:w="2255" w:type="dxa"/>
          </w:tcPr>
          <w:p w14:paraId="5E7FF14D" w14:textId="6F62D9DA" w:rsidR="005264A4" w:rsidRDefault="005B0BF5" w:rsidP="00964DCB">
            <w:pPr>
              <w:pStyle w:val="NoSpacing"/>
              <w:spacing w:line="276" w:lineRule="auto"/>
              <w:jc w:val="left"/>
              <w:rPr>
                <w:rFonts w:ascii="Arial" w:hAnsi="Arial" w:cs="Arial"/>
              </w:rPr>
            </w:pPr>
            <w:r>
              <w:rPr>
                <w:rFonts w:ascii="Arial" w:hAnsi="Arial" w:cs="Arial"/>
              </w:rPr>
              <w:t xml:space="preserve">Need to be </w:t>
            </w:r>
            <w:r w:rsidR="00F10E8C">
              <w:rPr>
                <w:rFonts w:ascii="Arial" w:hAnsi="Arial" w:cs="Arial"/>
              </w:rPr>
              <w:t>C</w:t>
            </w:r>
            <w:r>
              <w:rPr>
                <w:rFonts w:ascii="Arial" w:hAnsi="Arial" w:cs="Arial"/>
              </w:rPr>
              <w:t>onsumer specific.</w:t>
            </w:r>
          </w:p>
        </w:tc>
      </w:tr>
      <w:tr w:rsidR="00B344FF" w:rsidRPr="00D03ED5" w14:paraId="236796F9" w14:textId="77777777" w:rsidTr="394896D7">
        <w:trPr>
          <w:cnfStyle w:val="000000100000" w:firstRow="0" w:lastRow="0" w:firstColumn="0" w:lastColumn="0" w:oddVBand="0" w:evenVBand="0" w:oddHBand="1" w:evenHBand="0" w:firstRowFirstColumn="0" w:firstRowLastColumn="0" w:lastRowFirstColumn="0" w:lastRowLastColumn="0"/>
        </w:trPr>
        <w:tc>
          <w:tcPr>
            <w:tcW w:w="1559" w:type="dxa"/>
          </w:tcPr>
          <w:p w14:paraId="328D5C13" w14:textId="1CCF4F72" w:rsidR="00B344FF" w:rsidRDefault="00B344FF" w:rsidP="00B344FF">
            <w:pPr>
              <w:pStyle w:val="NoSpacing"/>
              <w:spacing w:line="276" w:lineRule="auto"/>
              <w:jc w:val="left"/>
              <w:rPr>
                <w:rFonts w:ascii="Arial" w:hAnsi="Arial" w:cs="Arial"/>
              </w:rPr>
            </w:pPr>
            <w:r>
              <w:rPr>
                <w:rFonts w:ascii="Arial" w:hAnsi="Arial" w:cs="Arial"/>
              </w:rPr>
              <w:t>Losing Supplier</w:t>
            </w:r>
          </w:p>
        </w:tc>
        <w:tc>
          <w:tcPr>
            <w:tcW w:w="2122" w:type="dxa"/>
          </w:tcPr>
          <w:p w14:paraId="74122555" w14:textId="19D22324" w:rsidR="00B344FF" w:rsidRPr="003F301F" w:rsidRDefault="00E23A02" w:rsidP="00B344FF">
            <w:pPr>
              <w:pStyle w:val="NoSpacing"/>
              <w:spacing w:line="276" w:lineRule="auto"/>
              <w:jc w:val="left"/>
              <w:rPr>
                <w:rFonts w:ascii="Arial" w:hAnsi="Arial" w:cs="Arial"/>
              </w:rPr>
            </w:pPr>
            <w:r>
              <w:rPr>
                <w:rFonts w:ascii="Arial" w:hAnsi="Arial" w:cs="Arial"/>
              </w:rPr>
              <w:t>T</w:t>
            </w:r>
            <w:r w:rsidRPr="00E802C6">
              <w:rPr>
                <w:rFonts w:ascii="Arial" w:hAnsi="Arial" w:cs="Arial"/>
              </w:rPr>
              <w:t xml:space="preserve">he name </w:t>
            </w:r>
            <w:r w:rsidR="002B1A80">
              <w:rPr>
                <w:rFonts w:ascii="Arial" w:hAnsi="Arial" w:cs="Arial"/>
              </w:rPr>
              <w:t xml:space="preserve">on the RET / D0301 </w:t>
            </w:r>
            <w:r w:rsidRPr="00E802C6">
              <w:rPr>
                <w:rFonts w:ascii="Arial" w:hAnsi="Arial" w:cs="Arial"/>
              </w:rPr>
              <w:t>does not match our records</w:t>
            </w:r>
          </w:p>
        </w:tc>
        <w:tc>
          <w:tcPr>
            <w:tcW w:w="3080" w:type="dxa"/>
          </w:tcPr>
          <w:p w14:paraId="1846331A" w14:textId="77777777" w:rsidR="005B0BF5" w:rsidRDefault="005B0BF5" w:rsidP="005B0BF5">
            <w:pPr>
              <w:pStyle w:val="NoSpacing"/>
              <w:spacing w:line="276" w:lineRule="auto"/>
              <w:jc w:val="left"/>
              <w:rPr>
                <w:rFonts w:ascii="Arial" w:hAnsi="Arial" w:cs="Arial"/>
              </w:rPr>
            </w:pPr>
            <w:r>
              <w:rPr>
                <w:rFonts w:ascii="Arial" w:hAnsi="Arial" w:cs="Arial"/>
              </w:rPr>
              <w:t xml:space="preserve">Depends on ES reason.  </w:t>
            </w:r>
          </w:p>
          <w:p w14:paraId="58233D97" w14:textId="77777777" w:rsidR="005B0BF5" w:rsidRDefault="005B0BF5" w:rsidP="005B0BF5">
            <w:pPr>
              <w:pStyle w:val="NoSpacing"/>
              <w:spacing w:line="276" w:lineRule="auto"/>
              <w:jc w:val="left"/>
              <w:rPr>
                <w:rFonts w:ascii="Arial" w:hAnsi="Arial" w:cs="Arial"/>
              </w:rPr>
            </w:pPr>
            <w:r>
              <w:rPr>
                <w:rFonts w:ascii="Arial" w:hAnsi="Arial" w:cs="Arial"/>
              </w:rPr>
              <w:t>N – if flagged as “Incorrect MPXN” as these will be different details.</w:t>
            </w:r>
          </w:p>
          <w:p w14:paraId="772F2550" w14:textId="5AFEBF31" w:rsidR="00B344FF" w:rsidRDefault="005B0BF5" w:rsidP="005B0BF5">
            <w:pPr>
              <w:pStyle w:val="NoSpacing"/>
              <w:spacing w:line="276" w:lineRule="auto"/>
              <w:jc w:val="left"/>
              <w:rPr>
                <w:rFonts w:ascii="Arial" w:hAnsi="Arial" w:cs="Arial"/>
              </w:rPr>
            </w:pPr>
            <w:r>
              <w:rPr>
                <w:rFonts w:ascii="Arial" w:hAnsi="Arial" w:cs="Arial"/>
              </w:rPr>
              <w:t xml:space="preserve">All other ES reasons could potentially be a valid rejection but need to consider if a </w:t>
            </w:r>
            <w:proofErr w:type="spellStart"/>
            <w:r>
              <w:rPr>
                <w:rFonts w:ascii="Arial" w:hAnsi="Arial" w:cs="Arial"/>
              </w:rPr>
              <w:t>CoO</w:t>
            </w:r>
            <w:proofErr w:type="spellEnd"/>
            <w:r>
              <w:rPr>
                <w:rFonts w:ascii="Arial" w:hAnsi="Arial" w:cs="Arial"/>
              </w:rPr>
              <w:t xml:space="preserve"> has occurred.</w:t>
            </w:r>
          </w:p>
        </w:tc>
        <w:tc>
          <w:tcPr>
            <w:tcW w:w="2255" w:type="dxa"/>
          </w:tcPr>
          <w:p w14:paraId="66B75C94" w14:textId="1825D7F6" w:rsidR="00B344FF" w:rsidRDefault="005B0BF5" w:rsidP="00B344FF">
            <w:pPr>
              <w:pStyle w:val="NoSpacing"/>
              <w:spacing w:line="276" w:lineRule="auto"/>
              <w:jc w:val="left"/>
              <w:rPr>
                <w:rFonts w:ascii="Arial" w:hAnsi="Arial" w:cs="Arial"/>
              </w:rPr>
            </w:pPr>
            <w:r>
              <w:rPr>
                <w:rFonts w:ascii="Arial" w:hAnsi="Arial" w:cs="Arial"/>
              </w:rPr>
              <w:t xml:space="preserve">Need to be </w:t>
            </w:r>
            <w:r w:rsidR="00F10E8C">
              <w:rPr>
                <w:rFonts w:ascii="Arial" w:hAnsi="Arial" w:cs="Arial"/>
              </w:rPr>
              <w:t>C</w:t>
            </w:r>
            <w:r>
              <w:rPr>
                <w:rFonts w:ascii="Arial" w:hAnsi="Arial" w:cs="Arial"/>
              </w:rPr>
              <w:t>onsumer specific.</w:t>
            </w:r>
          </w:p>
        </w:tc>
      </w:tr>
      <w:tr w:rsidR="005264A4" w:rsidRPr="00D03ED5" w14:paraId="375E2F74" w14:textId="77777777" w:rsidTr="394896D7">
        <w:trPr>
          <w:cnfStyle w:val="000000010000" w:firstRow="0" w:lastRow="0" w:firstColumn="0" w:lastColumn="0" w:oddVBand="0" w:evenVBand="0" w:oddHBand="0" w:evenHBand="1" w:firstRowFirstColumn="0" w:firstRowLastColumn="0" w:lastRowFirstColumn="0" w:lastRowLastColumn="0"/>
        </w:trPr>
        <w:tc>
          <w:tcPr>
            <w:tcW w:w="1559" w:type="dxa"/>
          </w:tcPr>
          <w:p w14:paraId="6E47BA47" w14:textId="73D3EC49" w:rsidR="005264A4" w:rsidRDefault="007B10B4" w:rsidP="00964DCB">
            <w:pPr>
              <w:pStyle w:val="NoSpacing"/>
              <w:spacing w:after="120" w:line="276" w:lineRule="auto"/>
              <w:jc w:val="left"/>
              <w:rPr>
                <w:rFonts w:ascii="Arial" w:hAnsi="Arial" w:cs="Arial"/>
              </w:rPr>
            </w:pPr>
            <w:r>
              <w:rPr>
                <w:rFonts w:ascii="Arial" w:hAnsi="Arial" w:cs="Arial"/>
              </w:rPr>
              <w:t>Gaining or Losing Supplier</w:t>
            </w:r>
          </w:p>
        </w:tc>
        <w:tc>
          <w:tcPr>
            <w:tcW w:w="2122" w:type="dxa"/>
          </w:tcPr>
          <w:p w14:paraId="50C21FD1" w14:textId="003C4EE5" w:rsidR="005264A4" w:rsidRDefault="003F301F" w:rsidP="00964DCB">
            <w:pPr>
              <w:pStyle w:val="NoSpacing"/>
              <w:spacing w:line="276" w:lineRule="auto"/>
              <w:jc w:val="left"/>
              <w:rPr>
                <w:rFonts w:ascii="Arial" w:hAnsi="Arial" w:cs="Arial"/>
              </w:rPr>
            </w:pPr>
            <w:r w:rsidRPr="003F301F">
              <w:rPr>
                <w:rFonts w:ascii="Arial" w:hAnsi="Arial" w:cs="Arial"/>
              </w:rPr>
              <w:t>MSN does not match our records</w:t>
            </w:r>
          </w:p>
        </w:tc>
        <w:tc>
          <w:tcPr>
            <w:tcW w:w="3080" w:type="dxa"/>
          </w:tcPr>
          <w:p w14:paraId="424B6FAA" w14:textId="1BFBCBF3" w:rsidR="005264A4" w:rsidRDefault="005B0BF5" w:rsidP="00964DCB">
            <w:pPr>
              <w:pStyle w:val="NoSpacing"/>
              <w:spacing w:line="276" w:lineRule="auto"/>
              <w:jc w:val="left"/>
              <w:rPr>
                <w:rFonts w:ascii="Arial" w:hAnsi="Arial" w:cs="Arial"/>
              </w:rPr>
            </w:pPr>
            <w:r>
              <w:rPr>
                <w:rFonts w:ascii="Arial" w:hAnsi="Arial" w:cs="Arial"/>
              </w:rPr>
              <w:t xml:space="preserve">N - Meter Serial Number </w:t>
            </w:r>
            <w:r w:rsidR="00F10E8C">
              <w:rPr>
                <w:rFonts w:ascii="Arial" w:hAnsi="Arial" w:cs="Arial"/>
              </w:rPr>
              <w:t xml:space="preserve">is </w:t>
            </w:r>
            <w:r>
              <w:rPr>
                <w:rFonts w:ascii="Arial" w:hAnsi="Arial" w:cs="Arial"/>
              </w:rPr>
              <w:t>not used as a validation point</w:t>
            </w:r>
            <w:r w:rsidR="00F10E8C">
              <w:rPr>
                <w:rFonts w:ascii="Arial" w:hAnsi="Arial" w:cs="Arial"/>
              </w:rPr>
              <w:t>.</w:t>
            </w:r>
          </w:p>
        </w:tc>
        <w:tc>
          <w:tcPr>
            <w:tcW w:w="2255" w:type="dxa"/>
          </w:tcPr>
          <w:p w14:paraId="6307A552" w14:textId="0C901C71" w:rsidR="005264A4" w:rsidRDefault="00F10E8C" w:rsidP="00964DCB">
            <w:pPr>
              <w:pStyle w:val="NoSpacing"/>
              <w:spacing w:line="276" w:lineRule="auto"/>
              <w:jc w:val="left"/>
              <w:rPr>
                <w:rFonts w:ascii="Arial" w:hAnsi="Arial" w:cs="Arial"/>
              </w:rPr>
            </w:pPr>
            <w:r>
              <w:rPr>
                <w:rFonts w:ascii="Arial" w:hAnsi="Arial" w:cs="Arial"/>
              </w:rPr>
              <w:t>N/A</w:t>
            </w:r>
          </w:p>
        </w:tc>
      </w:tr>
      <w:tr w:rsidR="005264A4" w:rsidRPr="00D03ED5" w14:paraId="78BF72E4" w14:textId="77777777" w:rsidTr="394896D7">
        <w:trPr>
          <w:cnfStyle w:val="000000100000" w:firstRow="0" w:lastRow="0" w:firstColumn="0" w:lastColumn="0" w:oddVBand="0" w:evenVBand="0" w:oddHBand="1" w:evenHBand="0" w:firstRowFirstColumn="0" w:firstRowLastColumn="0" w:lastRowFirstColumn="0" w:lastRowLastColumn="0"/>
        </w:trPr>
        <w:tc>
          <w:tcPr>
            <w:tcW w:w="1559" w:type="dxa"/>
          </w:tcPr>
          <w:p w14:paraId="1CE2B93A" w14:textId="5D5A7CF0" w:rsidR="005264A4" w:rsidRDefault="003F301F" w:rsidP="00964DCB">
            <w:pPr>
              <w:pStyle w:val="NoSpacing"/>
              <w:spacing w:line="276" w:lineRule="auto"/>
              <w:jc w:val="left"/>
              <w:rPr>
                <w:rFonts w:ascii="Arial" w:hAnsi="Arial" w:cs="Arial"/>
              </w:rPr>
            </w:pPr>
            <w:r>
              <w:rPr>
                <w:rFonts w:ascii="Arial" w:hAnsi="Arial" w:cs="Arial"/>
              </w:rPr>
              <w:t>Gaining or Losing Supplier</w:t>
            </w:r>
          </w:p>
        </w:tc>
        <w:tc>
          <w:tcPr>
            <w:tcW w:w="2122" w:type="dxa"/>
          </w:tcPr>
          <w:p w14:paraId="40E8AE14" w14:textId="48E6A48A" w:rsidR="005264A4" w:rsidRDefault="002759E6" w:rsidP="00964DCB">
            <w:pPr>
              <w:pStyle w:val="NoSpacing"/>
              <w:spacing w:line="276" w:lineRule="auto"/>
              <w:jc w:val="left"/>
              <w:rPr>
                <w:rFonts w:ascii="Arial" w:hAnsi="Arial" w:cs="Arial"/>
              </w:rPr>
            </w:pPr>
            <w:r w:rsidRPr="002759E6">
              <w:rPr>
                <w:rFonts w:ascii="Arial" w:hAnsi="Arial" w:cs="Arial"/>
              </w:rPr>
              <w:t>MPAN shows as de-energised in EES</w:t>
            </w:r>
          </w:p>
        </w:tc>
        <w:tc>
          <w:tcPr>
            <w:tcW w:w="3080" w:type="dxa"/>
          </w:tcPr>
          <w:p w14:paraId="396AFE19" w14:textId="023E51A6" w:rsidR="005264A4" w:rsidRDefault="6DDC94BF" w:rsidP="00964DCB">
            <w:pPr>
              <w:pStyle w:val="NoSpacing"/>
              <w:spacing w:line="276" w:lineRule="auto"/>
              <w:jc w:val="left"/>
              <w:rPr>
                <w:rFonts w:ascii="Arial" w:hAnsi="Arial" w:cs="Arial"/>
              </w:rPr>
            </w:pPr>
            <w:r w:rsidRPr="394896D7">
              <w:rPr>
                <w:rFonts w:ascii="Arial" w:hAnsi="Arial" w:cs="Arial"/>
              </w:rPr>
              <w:t>N - Energisation status does not prevent a Switch</w:t>
            </w:r>
            <w:r w:rsidR="48D505FA" w:rsidRPr="394896D7">
              <w:rPr>
                <w:rFonts w:ascii="Arial" w:hAnsi="Arial" w:cs="Arial"/>
              </w:rPr>
              <w:t>.</w:t>
            </w:r>
          </w:p>
        </w:tc>
        <w:tc>
          <w:tcPr>
            <w:tcW w:w="2255" w:type="dxa"/>
          </w:tcPr>
          <w:p w14:paraId="58A2CDD6" w14:textId="7D30970E" w:rsidR="005264A4" w:rsidRDefault="00F10E8C" w:rsidP="00964DCB">
            <w:pPr>
              <w:pStyle w:val="NoSpacing"/>
              <w:spacing w:line="276" w:lineRule="auto"/>
              <w:jc w:val="left"/>
              <w:rPr>
                <w:rFonts w:ascii="Arial" w:hAnsi="Arial" w:cs="Arial"/>
              </w:rPr>
            </w:pPr>
            <w:r>
              <w:rPr>
                <w:rFonts w:ascii="Arial" w:hAnsi="Arial" w:cs="Arial"/>
              </w:rPr>
              <w:t>N/A</w:t>
            </w:r>
          </w:p>
        </w:tc>
      </w:tr>
      <w:tr w:rsidR="00964DCB" w:rsidRPr="00D03ED5" w14:paraId="2A9E5DBB" w14:textId="77777777" w:rsidTr="394896D7">
        <w:trPr>
          <w:cnfStyle w:val="000000010000" w:firstRow="0" w:lastRow="0" w:firstColumn="0" w:lastColumn="0" w:oddVBand="0" w:evenVBand="0" w:oddHBand="0" w:evenHBand="1" w:firstRowFirstColumn="0" w:firstRowLastColumn="0" w:lastRowFirstColumn="0" w:lastRowLastColumn="0"/>
        </w:trPr>
        <w:tc>
          <w:tcPr>
            <w:tcW w:w="1559" w:type="dxa"/>
          </w:tcPr>
          <w:p w14:paraId="303B1506" w14:textId="3BCFB390" w:rsidR="00964DCB" w:rsidRDefault="00964DCB" w:rsidP="00964DCB">
            <w:pPr>
              <w:pStyle w:val="NoSpacing"/>
              <w:spacing w:line="276" w:lineRule="auto"/>
              <w:jc w:val="left"/>
              <w:rPr>
                <w:rFonts w:ascii="Arial" w:hAnsi="Arial" w:cs="Arial"/>
              </w:rPr>
            </w:pPr>
            <w:r>
              <w:rPr>
                <w:rFonts w:ascii="Arial" w:hAnsi="Arial" w:cs="Arial"/>
              </w:rPr>
              <w:t>Losing Supplier</w:t>
            </w:r>
          </w:p>
        </w:tc>
        <w:tc>
          <w:tcPr>
            <w:tcW w:w="2122" w:type="dxa"/>
          </w:tcPr>
          <w:p w14:paraId="24D56AB1" w14:textId="0663016B" w:rsidR="00964DCB" w:rsidRDefault="00964DCB" w:rsidP="00964DCB">
            <w:pPr>
              <w:pStyle w:val="NoSpacing"/>
              <w:spacing w:line="276" w:lineRule="auto"/>
              <w:jc w:val="left"/>
              <w:rPr>
                <w:rFonts w:ascii="Arial" w:hAnsi="Arial" w:cs="Arial"/>
              </w:rPr>
            </w:pPr>
            <w:r>
              <w:rPr>
                <w:rFonts w:ascii="Arial" w:hAnsi="Arial" w:cs="Arial"/>
              </w:rPr>
              <w:t xml:space="preserve">Consumer was on the </w:t>
            </w:r>
            <w:r w:rsidR="00F10E8C">
              <w:rPr>
                <w:rFonts w:ascii="Arial" w:hAnsi="Arial" w:cs="Arial"/>
              </w:rPr>
              <w:t>P</w:t>
            </w:r>
            <w:r>
              <w:rPr>
                <w:rFonts w:ascii="Arial" w:hAnsi="Arial" w:cs="Arial"/>
              </w:rPr>
              <w:t xml:space="preserve">rice </w:t>
            </w:r>
            <w:r w:rsidR="00F10E8C">
              <w:rPr>
                <w:rFonts w:ascii="Arial" w:hAnsi="Arial" w:cs="Arial"/>
              </w:rPr>
              <w:t>C</w:t>
            </w:r>
            <w:r>
              <w:rPr>
                <w:rFonts w:ascii="Arial" w:hAnsi="Arial" w:cs="Arial"/>
              </w:rPr>
              <w:t>ap (</w:t>
            </w:r>
            <w:r w:rsidR="00F10E8C">
              <w:rPr>
                <w:rFonts w:ascii="Arial" w:hAnsi="Arial" w:cs="Arial"/>
              </w:rPr>
              <w:t>i.e.</w:t>
            </w:r>
            <w:r>
              <w:rPr>
                <w:rFonts w:ascii="Arial" w:hAnsi="Arial" w:cs="Arial"/>
              </w:rPr>
              <w:t xml:space="preserve"> deemed terms) at the time of the Switch</w:t>
            </w:r>
          </w:p>
          <w:p w14:paraId="65A2570D" w14:textId="762FB231" w:rsidR="00E0060F" w:rsidRDefault="00E0060F" w:rsidP="00964DCB">
            <w:pPr>
              <w:pStyle w:val="NoSpacing"/>
              <w:spacing w:line="276" w:lineRule="auto"/>
              <w:jc w:val="left"/>
              <w:rPr>
                <w:rFonts w:ascii="Arial" w:hAnsi="Arial" w:cs="Arial"/>
              </w:rPr>
            </w:pPr>
            <w:r>
              <w:rPr>
                <w:rFonts w:ascii="Arial" w:hAnsi="Arial" w:cs="Arial"/>
              </w:rPr>
              <w:t xml:space="preserve">/ </w:t>
            </w:r>
            <w:proofErr w:type="gramStart"/>
            <w:r>
              <w:rPr>
                <w:rFonts w:ascii="Arial" w:hAnsi="Arial" w:cs="Arial"/>
              </w:rPr>
              <w:t>account</w:t>
            </w:r>
            <w:proofErr w:type="gramEnd"/>
            <w:r>
              <w:rPr>
                <w:rFonts w:ascii="Arial" w:hAnsi="Arial" w:cs="Arial"/>
              </w:rPr>
              <w:t xml:space="preserve"> is </w:t>
            </w:r>
            <w:r w:rsidR="00E23A02">
              <w:rPr>
                <w:rFonts w:ascii="Arial" w:hAnsi="Arial" w:cs="Arial"/>
              </w:rPr>
              <w:t>flagged as vacant or owner / occupier</w:t>
            </w:r>
          </w:p>
        </w:tc>
        <w:tc>
          <w:tcPr>
            <w:tcW w:w="3080" w:type="dxa"/>
          </w:tcPr>
          <w:p w14:paraId="1FF27FB1" w14:textId="4BA0C179" w:rsidR="00964DCB" w:rsidRDefault="00964DCB" w:rsidP="00964DCB">
            <w:pPr>
              <w:pStyle w:val="NoSpacing"/>
              <w:spacing w:line="276" w:lineRule="auto"/>
              <w:jc w:val="left"/>
              <w:rPr>
                <w:rFonts w:ascii="Arial" w:hAnsi="Arial" w:cs="Arial"/>
              </w:rPr>
            </w:pPr>
            <w:r>
              <w:rPr>
                <w:rFonts w:ascii="Arial" w:hAnsi="Arial" w:cs="Arial"/>
              </w:rPr>
              <w:t xml:space="preserve">N – no valid contract is not a valid rejection reason. A Consumer on the </w:t>
            </w:r>
            <w:r w:rsidR="00F10E8C">
              <w:rPr>
                <w:rFonts w:ascii="Arial" w:hAnsi="Arial" w:cs="Arial"/>
              </w:rPr>
              <w:t>P</w:t>
            </w:r>
            <w:r>
              <w:rPr>
                <w:rFonts w:ascii="Arial" w:hAnsi="Arial" w:cs="Arial"/>
              </w:rPr>
              <w:t xml:space="preserve">rice </w:t>
            </w:r>
            <w:r w:rsidR="00F10E8C">
              <w:rPr>
                <w:rFonts w:ascii="Arial" w:hAnsi="Arial" w:cs="Arial"/>
              </w:rPr>
              <w:t>C</w:t>
            </w:r>
            <w:r>
              <w:rPr>
                <w:rFonts w:ascii="Arial" w:hAnsi="Arial" w:cs="Arial"/>
              </w:rPr>
              <w:t>ap should still be returned to the Losing Supplier</w:t>
            </w:r>
          </w:p>
        </w:tc>
        <w:tc>
          <w:tcPr>
            <w:tcW w:w="2255" w:type="dxa"/>
          </w:tcPr>
          <w:p w14:paraId="35196758" w14:textId="143684E7" w:rsidR="00964DCB" w:rsidRDefault="00F10E8C" w:rsidP="00964DCB">
            <w:pPr>
              <w:pStyle w:val="NoSpacing"/>
              <w:spacing w:line="276" w:lineRule="auto"/>
              <w:jc w:val="left"/>
              <w:rPr>
                <w:rFonts w:ascii="Arial" w:hAnsi="Arial" w:cs="Arial"/>
              </w:rPr>
            </w:pPr>
            <w:r>
              <w:rPr>
                <w:rFonts w:ascii="Arial" w:hAnsi="Arial" w:cs="Arial"/>
              </w:rPr>
              <w:t>N/A</w:t>
            </w:r>
          </w:p>
        </w:tc>
      </w:tr>
    </w:tbl>
    <w:p w14:paraId="585979B7" w14:textId="77777777" w:rsidR="00154586" w:rsidRDefault="00154586" w:rsidP="00084EB1">
      <w:pPr>
        <w:pStyle w:val="NoSpacing"/>
        <w:spacing w:line="276" w:lineRule="auto"/>
      </w:pPr>
    </w:p>
    <w:p w14:paraId="60D844FD" w14:textId="77777777" w:rsidR="00F10E8C" w:rsidRDefault="00F10E8C" w:rsidP="00084EB1">
      <w:pPr>
        <w:pStyle w:val="NoSpacing"/>
        <w:spacing w:line="276" w:lineRule="auto"/>
      </w:pPr>
    </w:p>
    <w:p w14:paraId="17E6213E" w14:textId="2EABA004" w:rsidR="00615F73" w:rsidRPr="009E29A7" w:rsidRDefault="00154586" w:rsidP="00084EB1">
      <w:pPr>
        <w:pStyle w:val="NoSpacing"/>
        <w:spacing w:line="276" w:lineRule="auto"/>
        <w:rPr>
          <w:rFonts w:ascii="Arial" w:hAnsi="Arial" w:cs="Arial"/>
        </w:rPr>
      </w:pPr>
      <w:r w:rsidRPr="009E29A7">
        <w:rPr>
          <w:rFonts w:ascii="Arial" w:hAnsi="Arial" w:cs="Arial"/>
        </w:rPr>
        <w:t>On a rejection the</w:t>
      </w:r>
      <w:r w:rsidR="00C10A70" w:rsidRPr="009E29A7">
        <w:rPr>
          <w:rFonts w:ascii="Arial" w:hAnsi="Arial" w:cs="Arial"/>
        </w:rPr>
        <w:t xml:space="preserve"> </w:t>
      </w:r>
      <w:r w:rsidR="00F26CB8" w:rsidRPr="009E29A7">
        <w:rPr>
          <w:rFonts w:ascii="Arial" w:hAnsi="Arial" w:cs="Arial"/>
        </w:rPr>
        <w:t>Associated</w:t>
      </w:r>
      <w:r w:rsidR="00C10A70" w:rsidRPr="009E29A7">
        <w:rPr>
          <w:rFonts w:ascii="Arial" w:hAnsi="Arial" w:cs="Arial"/>
        </w:rPr>
        <w:t xml:space="preserve"> Supplier </w:t>
      </w:r>
      <w:r w:rsidR="0014014B" w:rsidRPr="009E29A7">
        <w:rPr>
          <w:rFonts w:ascii="Arial" w:hAnsi="Arial" w:cs="Arial"/>
        </w:rPr>
        <w:t>(</w:t>
      </w:r>
      <w:r w:rsidR="00480747" w:rsidRPr="009E29A7">
        <w:rPr>
          <w:rFonts w:ascii="Arial" w:hAnsi="Arial" w:cs="Arial"/>
        </w:rPr>
        <w:t>i.e.</w:t>
      </w:r>
      <w:r w:rsidR="0014014B" w:rsidRPr="009E29A7">
        <w:rPr>
          <w:rFonts w:ascii="Arial" w:hAnsi="Arial" w:cs="Arial"/>
        </w:rPr>
        <w:t xml:space="preserve"> the </w:t>
      </w:r>
      <w:r w:rsidR="00480747" w:rsidRPr="009E29A7">
        <w:rPr>
          <w:rFonts w:ascii="Arial" w:hAnsi="Arial" w:cs="Arial"/>
        </w:rPr>
        <w:t>S</w:t>
      </w:r>
      <w:r w:rsidR="0014014B" w:rsidRPr="009E29A7">
        <w:rPr>
          <w:rFonts w:ascii="Arial" w:hAnsi="Arial" w:cs="Arial"/>
        </w:rPr>
        <w:t xml:space="preserve">upplier receiving the RET /D0301) </w:t>
      </w:r>
      <w:r w:rsidR="00C10A70" w:rsidRPr="009E29A7">
        <w:rPr>
          <w:rFonts w:ascii="Arial" w:hAnsi="Arial" w:cs="Arial"/>
        </w:rPr>
        <w:t xml:space="preserve">must </w:t>
      </w:r>
      <w:r w:rsidR="00712363" w:rsidRPr="009E29A7">
        <w:rPr>
          <w:rFonts w:ascii="Arial" w:hAnsi="Arial" w:cs="Arial"/>
        </w:rPr>
        <w:t xml:space="preserve">complete the RET / D0301 response with the </w:t>
      </w:r>
      <w:r w:rsidR="00C10A70" w:rsidRPr="009E29A7">
        <w:rPr>
          <w:rFonts w:ascii="Arial" w:hAnsi="Arial" w:cs="Arial"/>
        </w:rPr>
        <w:t>following:</w:t>
      </w:r>
    </w:p>
    <w:p w14:paraId="0A50E1CA" w14:textId="77777777" w:rsidR="00712363" w:rsidRPr="009E29A7" w:rsidRDefault="00712363" w:rsidP="00712363">
      <w:pPr>
        <w:pStyle w:val="NoSpacing"/>
        <w:numPr>
          <w:ilvl w:val="0"/>
          <w:numId w:val="26"/>
        </w:numPr>
        <w:spacing w:line="276" w:lineRule="auto"/>
        <w:rPr>
          <w:rFonts w:ascii="Arial" w:hAnsi="Arial" w:cs="Arial"/>
        </w:rPr>
      </w:pPr>
      <w:r w:rsidRPr="009E29A7">
        <w:rPr>
          <w:rFonts w:ascii="Arial" w:hAnsi="Arial" w:cs="Arial"/>
        </w:rPr>
        <w:t xml:space="preserve">Use the appropriate ES status </w:t>
      </w:r>
    </w:p>
    <w:p w14:paraId="6FA193D2" w14:textId="560CAF17" w:rsidR="00625B99" w:rsidRPr="009E29A7" w:rsidRDefault="00625B99" w:rsidP="00625B99">
      <w:pPr>
        <w:pStyle w:val="NoSpacing"/>
        <w:numPr>
          <w:ilvl w:val="1"/>
          <w:numId w:val="26"/>
        </w:numPr>
        <w:spacing w:line="276" w:lineRule="auto"/>
        <w:rPr>
          <w:rFonts w:ascii="Arial" w:hAnsi="Arial" w:cs="Arial"/>
        </w:rPr>
      </w:pPr>
      <w:r w:rsidRPr="009E29A7">
        <w:rPr>
          <w:rFonts w:ascii="Arial" w:hAnsi="Arial" w:cs="Arial"/>
        </w:rPr>
        <w:t xml:space="preserve">Gas DI40213 - </w:t>
      </w:r>
      <w:hyperlink r:id="rId32" w:history="1">
        <w:r w:rsidRPr="009E29A7">
          <w:rPr>
            <w:rStyle w:val="Hyperlink"/>
            <w:rFonts w:ascii="Arial" w:hAnsi="Arial" w:cs="Arial"/>
          </w:rPr>
          <w:t>Status Response RET (B0030)</w:t>
        </w:r>
      </w:hyperlink>
    </w:p>
    <w:p w14:paraId="5967B339" w14:textId="4ECB4CFF" w:rsidR="00801933" w:rsidRPr="009E29A7" w:rsidRDefault="00C46363" w:rsidP="00801933">
      <w:pPr>
        <w:pStyle w:val="NoSpacing"/>
        <w:numPr>
          <w:ilvl w:val="2"/>
          <w:numId w:val="26"/>
        </w:numPr>
        <w:spacing w:line="276" w:lineRule="auto"/>
        <w:rPr>
          <w:rFonts w:ascii="Arial" w:hAnsi="Arial" w:cs="Arial"/>
        </w:rPr>
      </w:pPr>
      <w:r w:rsidRPr="009E29A7">
        <w:rPr>
          <w:rFonts w:ascii="Arial" w:hAnsi="Arial" w:cs="Arial"/>
        </w:rPr>
        <w:t>If rejected by the Losing Supplier use code N</w:t>
      </w:r>
    </w:p>
    <w:p w14:paraId="390BBE66" w14:textId="4767EDE9" w:rsidR="00C46363" w:rsidRPr="009E29A7" w:rsidRDefault="00C46363" w:rsidP="00801933">
      <w:pPr>
        <w:pStyle w:val="NoSpacing"/>
        <w:numPr>
          <w:ilvl w:val="2"/>
          <w:numId w:val="26"/>
        </w:numPr>
        <w:spacing w:line="276" w:lineRule="auto"/>
        <w:rPr>
          <w:rFonts w:ascii="Arial" w:hAnsi="Arial" w:cs="Arial"/>
        </w:rPr>
      </w:pPr>
      <w:r w:rsidRPr="009E29A7">
        <w:rPr>
          <w:rFonts w:ascii="Arial" w:hAnsi="Arial" w:cs="Arial"/>
        </w:rPr>
        <w:t>If rejected by the Gaining Supplier (i</w:t>
      </w:r>
      <w:r w:rsidR="009E29A7">
        <w:rPr>
          <w:rFonts w:ascii="Arial" w:hAnsi="Arial" w:cs="Arial"/>
        </w:rPr>
        <w:t>.</w:t>
      </w:r>
      <w:r w:rsidRPr="009E29A7">
        <w:rPr>
          <w:rFonts w:ascii="Arial" w:hAnsi="Arial" w:cs="Arial"/>
        </w:rPr>
        <w:t>e</w:t>
      </w:r>
      <w:r w:rsidR="009E29A7">
        <w:rPr>
          <w:rFonts w:ascii="Arial" w:hAnsi="Arial" w:cs="Arial"/>
        </w:rPr>
        <w:t>.</w:t>
      </w:r>
      <w:r w:rsidRPr="009E29A7">
        <w:rPr>
          <w:rFonts w:ascii="Arial" w:hAnsi="Arial" w:cs="Arial"/>
        </w:rPr>
        <w:t xml:space="preserve"> the supplier who gained in error) use code </w:t>
      </w:r>
      <w:r w:rsidR="006E3869" w:rsidRPr="009E29A7">
        <w:rPr>
          <w:rFonts w:ascii="Arial" w:hAnsi="Arial" w:cs="Arial"/>
        </w:rPr>
        <w:t>R</w:t>
      </w:r>
      <w:r w:rsidR="00303765" w:rsidRPr="009E29A7">
        <w:rPr>
          <w:rFonts w:ascii="Arial" w:hAnsi="Arial" w:cs="Arial"/>
        </w:rPr>
        <w:t>.</w:t>
      </w:r>
    </w:p>
    <w:p w14:paraId="06889CB5" w14:textId="798CA510" w:rsidR="00303765" w:rsidRPr="009E29A7" w:rsidRDefault="00303765" w:rsidP="00303765">
      <w:pPr>
        <w:pStyle w:val="NoSpacing"/>
        <w:numPr>
          <w:ilvl w:val="1"/>
          <w:numId w:val="26"/>
        </w:numPr>
        <w:spacing w:line="276" w:lineRule="auto"/>
        <w:rPr>
          <w:rFonts w:ascii="Arial" w:hAnsi="Arial" w:cs="Arial"/>
        </w:rPr>
      </w:pPr>
      <w:r w:rsidRPr="009E29A7">
        <w:rPr>
          <w:rFonts w:ascii="Arial" w:hAnsi="Arial" w:cs="Arial"/>
        </w:rPr>
        <w:t xml:space="preserve">Electricity </w:t>
      </w:r>
      <w:r w:rsidR="00307381" w:rsidRPr="009E29A7">
        <w:rPr>
          <w:rFonts w:ascii="Arial" w:hAnsi="Arial" w:cs="Arial"/>
        </w:rPr>
        <w:t xml:space="preserve">DI50998 - </w:t>
      </w:r>
      <w:hyperlink r:id="rId33" w:history="1">
        <w:r w:rsidR="00307381" w:rsidRPr="009E29A7">
          <w:rPr>
            <w:rStyle w:val="Hyperlink"/>
            <w:rFonts w:ascii="Arial" w:hAnsi="Arial" w:cs="Arial"/>
          </w:rPr>
          <w:t>Status of Erroneous Transfer (J1672)</w:t>
        </w:r>
      </w:hyperlink>
    </w:p>
    <w:p w14:paraId="18F6C6FB" w14:textId="4302210B" w:rsidR="00307381" w:rsidRPr="009E29A7" w:rsidRDefault="0010097F" w:rsidP="00307381">
      <w:pPr>
        <w:pStyle w:val="NoSpacing"/>
        <w:numPr>
          <w:ilvl w:val="2"/>
          <w:numId w:val="26"/>
        </w:numPr>
        <w:spacing w:line="276" w:lineRule="auto"/>
        <w:rPr>
          <w:rFonts w:ascii="Arial" w:hAnsi="Arial" w:cs="Arial"/>
        </w:rPr>
      </w:pPr>
      <w:r w:rsidRPr="009E29A7">
        <w:rPr>
          <w:rFonts w:ascii="Arial" w:hAnsi="Arial" w:cs="Arial"/>
        </w:rPr>
        <w:t>If rejected by the Gaining Supplier use code C</w:t>
      </w:r>
    </w:p>
    <w:p w14:paraId="6314DDC4" w14:textId="25BEB17C" w:rsidR="0010097F" w:rsidRPr="009E29A7" w:rsidRDefault="0010097F" w:rsidP="00307381">
      <w:pPr>
        <w:pStyle w:val="NoSpacing"/>
        <w:numPr>
          <w:ilvl w:val="2"/>
          <w:numId w:val="26"/>
        </w:numPr>
        <w:spacing w:line="276" w:lineRule="auto"/>
        <w:rPr>
          <w:rFonts w:ascii="Arial" w:hAnsi="Arial" w:cs="Arial"/>
        </w:rPr>
      </w:pPr>
      <w:r w:rsidRPr="009E29A7">
        <w:rPr>
          <w:rFonts w:ascii="Arial" w:hAnsi="Arial" w:cs="Arial"/>
        </w:rPr>
        <w:t xml:space="preserve">If rejected by the Losing Supplier use code </w:t>
      </w:r>
      <w:r w:rsidR="00A6623E" w:rsidRPr="009E29A7">
        <w:rPr>
          <w:rFonts w:ascii="Arial" w:hAnsi="Arial" w:cs="Arial"/>
        </w:rPr>
        <w:t>F</w:t>
      </w:r>
    </w:p>
    <w:p w14:paraId="615EEED6" w14:textId="020280D0" w:rsidR="00615F73" w:rsidRPr="009E29A7" w:rsidRDefault="00615F73" w:rsidP="00712363">
      <w:pPr>
        <w:pStyle w:val="NoSpacing"/>
        <w:numPr>
          <w:ilvl w:val="0"/>
          <w:numId w:val="26"/>
        </w:numPr>
        <w:spacing w:line="276" w:lineRule="auto"/>
        <w:rPr>
          <w:rFonts w:ascii="Arial" w:hAnsi="Arial" w:cs="Arial"/>
        </w:rPr>
      </w:pPr>
      <w:r w:rsidRPr="009E29A7">
        <w:rPr>
          <w:rFonts w:ascii="Arial" w:hAnsi="Arial" w:cs="Arial"/>
        </w:rPr>
        <w:t>Provide all reasons in additional inf</w:t>
      </w:r>
      <w:r w:rsidR="001A633C" w:rsidRPr="009E29A7">
        <w:rPr>
          <w:rFonts w:ascii="Arial" w:hAnsi="Arial" w:cs="Arial"/>
        </w:rPr>
        <w:t>ormation</w:t>
      </w:r>
      <w:r w:rsidR="00292EF5" w:rsidRPr="009E29A7">
        <w:rPr>
          <w:rFonts w:ascii="Arial" w:hAnsi="Arial" w:cs="Arial"/>
        </w:rPr>
        <w:t xml:space="preserve"> / comments</w:t>
      </w:r>
      <w:r w:rsidR="001A633C" w:rsidRPr="009E29A7">
        <w:rPr>
          <w:rFonts w:ascii="Arial" w:hAnsi="Arial" w:cs="Arial"/>
        </w:rPr>
        <w:t xml:space="preserve"> field</w:t>
      </w:r>
    </w:p>
    <w:p w14:paraId="13FE77B7" w14:textId="14DB11E3" w:rsidR="00B24185" w:rsidRPr="009E29A7" w:rsidRDefault="00B24185" w:rsidP="00B24185">
      <w:pPr>
        <w:pStyle w:val="NoSpacing"/>
        <w:numPr>
          <w:ilvl w:val="1"/>
          <w:numId w:val="26"/>
        </w:numPr>
        <w:spacing w:line="276" w:lineRule="auto"/>
        <w:rPr>
          <w:rFonts w:ascii="Arial" w:hAnsi="Arial" w:cs="Arial"/>
        </w:rPr>
      </w:pPr>
      <w:r w:rsidRPr="009E29A7">
        <w:rPr>
          <w:rFonts w:ascii="Arial" w:hAnsi="Arial" w:cs="Arial"/>
        </w:rPr>
        <w:t xml:space="preserve">If there is more than </w:t>
      </w:r>
      <w:r w:rsidR="00FB28F1" w:rsidRPr="009E29A7">
        <w:rPr>
          <w:rFonts w:ascii="Arial" w:hAnsi="Arial" w:cs="Arial"/>
        </w:rPr>
        <w:t>one</w:t>
      </w:r>
      <w:r w:rsidRPr="009E29A7">
        <w:rPr>
          <w:rFonts w:ascii="Arial" w:hAnsi="Arial" w:cs="Arial"/>
        </w:rPr>
        <w:t xml:space="preserve"> reason populate as much information as possible</w:t>
      </w:r>
      <w:r w:rsidR="007D48E2" w:rsidRPr="009E29A7">
        <w:rPr>
          <w:rFonts w:ascii="Arial" w:hAnsi="Arial" w:cs="Arial"/>
        </w:rPr>
        <w:t xml:space="preserve"> (noting gas field is limited to 120 characters and electricity to 200 characters).</w:t>
      </w:r>
    </w:p>
    <w:p w14:paraId="3552BEEB" w14:textId="41558AB0" w:rsidR="007D48E2" w:rsidRPr="009E29A7" w:rsidRDefault="007D48E2" w:rsidP="00B24185">
      <w:pPr>
        <w:pStyle w:val="NoSpacing"/>
        <w:numPr>
          <w:ilvl w:val="1"/>
          <w:numId w:val="26"/>
        </w:numPr>
        <w:spacing w:line="276" w:lineRule="auto"/>
        <w:rPr>
          <w:rFonts w:ascii="Arial" w:hAnsi="Arial" w:cs="Arial"/>
        </w:rPr>
      </w:pPr>
      <w:r w:rsidRPr="009E29A7">
        <w:rPr>
          <w:rFonts w:ascii="Arial" w:hAnsi="Arial" w:cs="Arial"/>
        </w:rPr>
        <w:t xml:space="preserve">If needed use SDEP ES General Enquiries </w:t>
      </w:r>
      <w:r w:rsidR="0014014B" w:rsidRPr="009E29A7">
        <w:rPr>
          <w:rFonts w:ascii="Arial" w:hAnsi="Arial" w:cs="Arial"/>
        </w:rPr>
        <w:t>(PT</w:t>
      </w:r>
      <w:r w:rsidR="004569D0" w:rsidRPr="009E29A7">
        <w:rPr>
          <w:rFonts w:ascii="Arial" w:hAnsi="Arial" w:cs="Arial"/>
        </w:rPr>
        <w:t xml:space="preserve">0047 &amp; </w:t>
      </w:r>
      <w:r w:rsidR="00364BF0" w:rsidRPr="009E29A7">
        <w:rPr>
          <w:rFonts w:ascii="Arial" w:hAnsi="Arial" w:cs="Arial"/>
        </w:rPr>
        <w:t xml:space="preserve">PT0048) </w:t>
      </w:r>
      <w:r w:rsidRPr="009E29A7">
        <w:rPr>
          <w:rFonts w:ascii="Arial" w:hAnsi="Arial" w:cs="Arial"/>
        </w:rPr>
        <w:t>screens to provide more information.</w:t>
      </w:r>
    </w:p>
    <w:p w14:paraId="50B9A7F9" w14:textId="4DC13A6C" w:rsidR="00781FA3" w:rsidRPr="009E29A7" w:rsidRDefault="00781FA3" w:rsidP="008C0676">
      <w:pPr>
        <w:pStyle w:val="NoSpacing"/>
        <w:numPr>
          <w:ilvl w:val="2"/>
          <w:numId w:val="26"/>
        </w:numPr>
        <w:spacing w:line="276" w:lineRule="auto"/>
        <w:rPr>
          <w:rFonts w:ascii="Arial" w:hAnsi="Arial" w:cs="Arial"/>
        </w:rPr>
      </w:pPr>
      <w:r w:rsidRPr="009E29A7">
        <w:rPr>
          <w:rFonts w:ascii="Arial" w:hAnsi="Arial" w:cs="Arial"/>
        </w:rPr>
        <w:t xml:space="preserve">Further details on how to use SDEP can be found in the </w:t>
      </w:r>
      <w:hyperlink r:id="rId34" w:history="1">
        <w:r w:rsidRPr="009E29A7">
          <w:rPr>
            <w:rStyle w:val="Hyperlink"/>
            <w:rFonts w:ascii="Arial" w:hAnsi="Arial" w:cs="Arial"/>
          </w:rPr>
          <w:t>SDEP User Guide</w:t>
        </w:r>
      </w:hyperlink>
      <w:r w:rsidRPr="009E29A7">
        <w:rPr>
          <w:rFonts w:ascii="Arial" w:hAnsi="Arial" w:cs="Arial"/>
        </w:rPr>
        <w:t>.</w:t>
      </w:r>
    </w:p>
    <w:p w14:paraId="115906B2" w14:textId="77777777" w:rsidR="009F6278" w:rsidRDefault="009F6278">
      <w:pPr>
        <w:rPr>
          <w:sz w:val="24"/>
          <w:szCs w:val="24"/>
        </w:rPr>
      </w:pPr>
    </w:p>
    <w:p w14:paraId="2FEF71E2" w14:textId="5C42FFB7" w:rsidR="00C935DD" w:rsidRDefault="00C935DD">
      <w:pPr>
        <w:rPr>
          <w:sz w:val="24"/>
          <w:szCs w:val="24"/>
        </w:rPr>
      </w:pPr>
      <w:r>
        <w:rPr>
          <w:sz w:val="24"/>
          <w:szCs w:val="24"/>
        </w:rPr>
        <w:br w:type="page"/>
      </w:r>
    </w:p>
    <w:p w14:paraId="5F69019E" w14:textId="2E2B6D2B" w:rsidR="00C808F7" w:rsidRPr="00C808F7" w:rsidRDefault="00C808F7" w:rsidP="00C808F7">
      <w:pPr>
        <w:pStyle w:val="Heading1"/>
        <w:numPr>
          <w:ilvl w:val="0"/>
          <w:numId w:val="17"/>
        </w:numPr>
        <w:rPr>
          <w:rFonts w:cs="Arial"/>
          <w:szCs w:val="24"/>
        </w:rPr>
      </w:pPr>
      <w:r>
        <w:t>“technical</w:t>
      </w:r>
      <w:r w:rsidR="00070831">
        <w:t xml:space="preserve"> issues</w:t>
      </w:r>
      <w:r>
        <w:t>” Erroneous switch reason</w:t>
      </w:r>
      <w:r w:rsidR="00CC2FD6">
        <w:t xml:space="preserve"> </w:t>
      </w:r>
    </w:p>
    <w:p w14:paraId="22CF44B7" w14:textId="77777777" w:rsidR="009E29A7" w:rsidRDefault="00C808F7" w:rsidP="00C808F7">
      <w:pPr>
        <w:pStyle w:val="NoSpacing"/>
        <w:spacing w:line="276" w:lineRule="auto"/>
        <w:rPr>
          <w:rFonts w:ascii="Arial" w:hAnsi="Arial" w:cs="Arial"/>
        </w:rPr>
      </w:pPr>
      <w:r w:rsidRPr="394896D7">
        <w:rPr>
          <w:rFonts w:ascii="Arial" w:hAnsi="Arial" w:cs="Arial"/>
        </w:rPr>
        <w:t xml:space="preserve">The </w:t>
      </w:r>
      <w:r w:rsidR="00B40B83" w:rsidRPr="394896D7">
        <w:rPr>
          <w:rFonts w:ascii="Arial" w:hAnsi="Arial" w:cs="Arial"/>
        </w:rPr>
        <w:t>Technical</w:t>
      </w:r>
      <w:r w:rsidR="00070831" w:rsidRPr="394896D7">
        <w:rPr>
          <w:rFonts w:ascii="Arial" w:hAnsi="Arial" w:cs="Arial"/>
        </w:rPr>
        <w:t xml:space="preserve"> Issues</w:t>
      </w:r>
      <w:r w:rsidR="00B40B83" w:rsidRPr="394896D7">
        <w:rPr>
          <w:rFonts w:ascii="Arial" w:hAnsi="Arial" w:cs="Arial"/>
        </w:rPr>
        <w:t xml:space="preserve"> ES </w:t>
      </w:r>
      <w:r w:rsidR="001B39C5" w:rsidRPr="394896D7">
        <w:rPr>
          <w:rFonts w:ascii="Arial" w:hAnsi="Arial" w:cs="Arial"/>
        </w:rPr>
        <w:t>R</w:t>
      </w:r>
      <w:r w:rsidR="00B40B83" w:rsidRPr="394896D7">
        <w:rPr>
          <w:rFonts w:ascii="Arial" w:hAnsi="Arial" w:cs="Arial"/>
        </w:rPr>
        <w:t xml:space="preserve">eason </w:t>
      </w:r>
      <w:r w:rsidR="001B39C5" w:rsidRPr="394896D7">
        <w:rPr>
          <w:rFonts w:ascii="Arial" w:hAnsi="Arial" w:cs="Arial"/>
        </w:rPr>
        <w:t>for Return (</w:t>
      </w:r>
      <w:hyperlink r:id="rId35">
        <w:r w:rsidR="001B39C5" w:rsidRPr="394896D7">
          <w:rPr>
            <w:rStyle w:val="Hyperlink"/>
            <w:rFonts w:ascii="Arial" w:hAnsi="Arial" w:cs="Arial"/>
          </w:rPr>
          <w:t>J1671</w:t>
        </w:r>
        <w:r w:rsidR="00070831" w:rsidRPr="394896D7">
          <w:rPr>
            <w:rStyle w:val="Hyperlink"/>
            <w:rFonts w:ascii="Arial" w:hAnsi="Arial" w:cs="Arial"/>
          </w:rPr>
          <w:t xml:space="preserve"> / DI50997</w:t>
        </w:r>
      </w:hyperlink>
      <w:r w:rsidR="00070831" w:rsidRPr="394896D7">
        <w:rPr>
          <w:rFonts w:ascii="Arial" w:hAnsi="Arial" w:cs="Arial"/>
        </w:rPr>
        <w:t>) value F</w:t>
      </w:r>
      <w:r w:rsidR="00B40B83" w:rsidRPr="394896D7">
        <w:rPr>
          <w:rFonts w:ascii="Arial" w:hAnsi="Arial" w:cs="Arial"/>
        </w:rPr>
        <w:t xml:space="preserve"> is only available for electricity MPANs.  Currently there is no definition of a “Technical</w:t>
      </w:r>
      <w:r w:rsidR="00070831" w:rsidRPr="394896D7">
        <w:rPr>
          <w:rFonts w:ascii="Arial" w:hAnsi="Arial" w:cs="Arial"/>
        </w:rPr>
        <w:t xml:space="preserve"> Issues</w:t>
      </w:r>
      <w:r w:rsidR="00B40B83" w:rsidRPr="394896D7">
        <w:rPr>
          <w:rFonts w:ascii="Arial" w:hAnsi="Arial" w:cs="Arial"/>
        </w:rPr>
        <w:t>” ES reason code.</w:t>
      </w:r>
      <w:r w:rsidR="00B00DEF" w:rsidRPr="394896D7">
        <w:rPr>
          <w:rFonts w:ascii="Arial" w:hAnsi="Arial" w:cs="Arial"/>
        </w:rPr>
        <w:t xml:space="preserve"> However, it was previously defined before REC</w:t>
      </w:r>
      <w:r w:rsidR="00FB52BC">
        <w:rPr>
          <w:rFonts w:ascii="Arial" w:hAnsi="Arial" w:cs="Arial"/>
        </w:rPr>
        <w:t xml:space="preserve"> V3.0</w:t>
      </w:r>
      <w:r w:rsidR="00B00DEF" w:rsidRPr="394896D7">
        <w:rPr>
          <w:rFonts w:ascii="Arial" w:hAnsi="Arial" w:cs="Arial"/>
        </w:rPr>
        <w:t xml:space="preserve">.  </w:t>
      </w:r>
    </w:p>
    <w:p w14:paraId="5CF62396" w14:textId="77777777" w:rsidR="009E29A7" w:rsidRDefault="009E29A7" w:rsidP="00C808F7">
      <w:pPr>
        <w:pStyle w:val="NoSpacing"/>
        <w:spacing w:line="276" w:lineRule="auto"/>
        <w:rPr>
          <w:rFonts w:ascii="Arial" w:hAnsi="Arial" w:cs="Arial"/>
        </w:rPr>
      </w:pPr>
    </w:p>
    <w:p w14:paraId="18990EA8" w14:textId="03FEB1C2" w:rsidR="00654980" w:rsidRDefault="00161561" w:rsidP="00C808F7">
      <w:pPr>
        <w:pStyle w:val="NoSpacing"/>
        <w:spacing w:line="276" w:lineRule="auto"/>
        <w:rPr>
          <w:rFonts w:ascii="Arial" w:hAnsi="Arial" w:cs="Arial"/>
        </w:rPr>
      </w:pPr>
      <w:r w:rsidRPr="394896D7">
        <w:rPr>
          <w:rFonts w:ascii="Arial" w:hAnsi="Arial" w:cs="Arial"/>
        </w:rPr>
        <w:t xml:space="preserve">The I0237 Working Group has </w:t>
      </w:r>
      <w:r w:rsidR="003C45BB" w:rsidRPr="394896D7">
        <w:rPr>
          <w:rFonts w:ascii="Arial" w:hAnsi="Arial" w:cs="Arial"/>
        </w:rPr>
        <w:t xml:space="preserve">yet </w:t>
      </w:r>
      <w:r w:rsidRPr="394896D7">
        <w:rPr>
          <w:rFonts w:ascii="Arial" w:hAnsi="Arial" w:cs="Arial"/>
        </w:rPr>
        <w:t xml:space="preserve">to determine if this ES Reason for Return is needed </w:t>
      </w:r>
      <w:r w:rsidR="003760B1" w:rsidRPr="394896D7">
        <w:rPr>
          <w:rFonts w:ascii="Arial" w:hAnsi="Arial" w:cs="Arial"/>
        </w:rPr>
        <w:t xml:space="preserve">in the future.  If the </w:t>
      </w:r>
      <w:r w:rsidR="00280DB3" w:rsidRPr="394896D7">
        <w:rPr>
          <w:rFonts w:ascii="Arial" w:hAnsi="Arial" w:cs="Arial"/>
        </w:rPr>
        <w:t>recommendation is that it remains the Working Group will</w:t>
      </w:r>
      <w:r w:rsidR="00EC03C1" w:rsidRPr="394896D7">
        <w:rPr>
          <w:rFonts w:ascii="Arial" w:hAnsi="Arial" w:cs="Arial"/>
        </w:rPr>
        <w:t xml:space="preserve"> provide a recommendation on how </w:t>
      </w:r>
      <w:r w:rsidR="00B00DEF" w:rsidRPr="394896D7">
        <w:rPr>
          <w:rFonts w:ascii="Arial" w:hAnsi="Arial" w:cs="Arial"/>
        </w:rPr>
        <w:t xml:space="preserve">Schedule 30 </w:t>
      </w:r>
      <w:r w:rsidR="00070831" w:rsidRPr="394896D7">
        <w:rPr>
          <w:rFonts w:ascii="Arial" w:hAnsi="Arial" w:cs="Arial"/>
        </w:rPr>
        <w:t xml:space="preserve">or the Data Item </w:t>
      </w:r>
      <w:r w:rsidR="00B00DEF" w:rsidRPr="394896D7">
        <w:rPr>
          <w:rFonts w:ascii="Arial" w:hAnsi="Arial" w:cs="Arial"/>
        </w:rPr>
        <w:t xml:space="preserve">will be clarified to set out the correct </w:t>
      </w:r>
      <w:r w:rsidRPr="394896D7">
        <w:rPr>
          <w:rFonts w:ascii="Arial" w:hAnsi="Arial" w:cs="Arial"/>
        </w:rPr>
        <w:t>definition</w:t>
      </w:r>
      <w:r w:rsidR="00280DB3" w:rsidRPr="394896D7">
        <w:rPr>
          <w:rFonts w:ascii="Arial" w:hAnsi="Arial" w:cs="Arial"/>
        </w:rPr>
        <w:t xml:space="preserve"> </w:t>
      </w:r>
      <w:r w:rsidR="003B49D0" w:rsidRPr="394896D7">
        <w:rPr>
          <w:rFonts w:ascii="Arial" w:hAnsi="Arial" w:cs="Arial"/>
        </w:rPr>
        <w:t>and check the assurance reporting is up to date</w:t>
      </w:r>
      <w:r w:rsidR="003760B1" w:rsidRPr="394896D7">
        <w:rPr>
          <w:rFonts w:ascii="Arial" w:hAnsi="Arial" w:cs="Arial"/>
        </w:rPr>
        <w:t xml:space="preserve">. </w:t>
      </w:r>
      <w:r w:rsidR="00EC03C1" w:rsidRPr="394896D7">
        <w:rPr>
          <w:rFonts w:ascii="Arial" w:hAnsi="Arial" w:cs="Arial"/>
        </w:rPr>
        <w:t>I</w:t>
      </w:r>
      <w:r w:rsidR="00B00DEF" w:rsidRPr="394896D7">
        <w:rPr>
          <w:rFonts w:ascii="Arial" w:hAnsi="Arial" w:cs="Arial"/>
        </w:rPr>
        <w:t>n the meantime</w:t>
      </w:r>
      <w:r w:rsidR="00EC03C1" w:rsidRPr="394896D7">
        <w:rPr>
          <w:rFonts w:ascii="Arial" w:hAnsi="Arial" w:cs="Arial"/>
        </w:rPr>
        <w:t>,</w:t>
      </w:r>
      <w:r w:rsidR="00B00DEF" w:rsidRPr="394896D7">
        <w:rPr>
          <w:rFonts w:ascii="Arial" w:hAnsi="Arial" w:cs="Arial"/>
        </w:rPr>
        <w:t xml:space="preserve"> this</w:t>
      </w:r>
      <w:r w:rsidR="0097629A" w:rsidRPr="394896D7">
        <w:rPr>
          <w:rFonts w:ascii="Arial" w:hAnsi="Arial" w:cs="Arial"/>
        </w:rPr>
        <w:t xml:space="preserve"> guidance document can be used to provide clarification on wh</w:t>
      </w:r>
      <w:r w:rsidR="00B02665" w:rsidRPr="394896D7">
        <w:rPr>
          <w:rFonts w:ascii="Arial" w:hAnsi="Arial" w:cs="Arial"/>
        </w:rPr>
        <w:t>en</w:t>
      </w:r>
      <w:r w:rsidR="0097629A" w:rsidRPr="394896D7">
        <w:rPr>
          <w:rFonts w:ascii="Arial" w:hAnsi="Arial" w:cs="Arial"/>
        </w:rPr>
        <w:t xml:space="preserve"> the Technical ES reason should be used.</w:t>
      </w:r>
    </w:p>
    <w:p w14:paraId="5B2E4DAB" w14:textId="77777777" w:rsidR="00654980" w:rsidRDefault="00654980" w:rsidP="00C808F7">
      <w:pPr>
        <w:pStyle w:val="NoSpacing"/>
        <w:spacing w:line="276" w:lineRule="auto"/>
        <w:rPr>
          <w:rFonts w:ascii="Arial" w:hAnsi="Arial" w:cs="Arial"/>
        </w:rPr>
      </w:pPr>
    </w:p>
    <w:p w14:paraId="643FA1B4" w14:textId="4F09CF65" w:rsidR="00654980" w:rsidRDefault="00654980" w:rsidP="00C808F7">
      <w:pPr>
        <w:pStyle w:val="NoSpacing"/>
        <w:spacing w:line="276" w:lineRule="auto"/>
        <w:rPr>
          <w:rFonts w:ascii="Arial" w:hAnsi="Arial" w:cs="Arial"/>
        </w:rPr>
      </w:pPr>
      <w:r>
        <w:rPr>
          <w:rFonts w:ascii="Arial" w:hAnsi="Arial" w:cs="Arial"/>
        </w:rPr>
        <w:t xml:space="preserve">The definition </w:t>
      </w:r>
      <w:r w:rsidR="00642E00">
        <w:rPr>
          <w:rFonts w:ascii="Arial" w:hAnsi="Arial" w:cs="Arial"/>
        </w:rPr>
        <w:t>is</w:t>
      </w:r>
      <w:r w:rsidR="001C44CC">
        <w:rPr>
          <w:rFonts w:ascii="Arial" w:hAnsi="Arial" w:cs="Arial"/>
        </w:rPr>
        <w:t>:</w:t>
      </w:r>
    </w:p>
    <w:tbl>
      <w:tblPr>
        <w:tblStyle w:val="TableGrid"/>
        <w:tblW w:w="0" w:type="auto"/>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838"/>
        <w:gridCol w:w="3686"/>
        <w:gridCol w:w="3492"/>
      </w:tblGrid>
      <w:tr w:rsidR="00A00A8C" w14:paraId="01B3E58F" w14:textId="77777777" w:rsidTr="00642E00">
        <w:trPr>
          <w:cnfStyle w:val="100000000000" w:firstRow="1" w:lastRow="0" w:firstColumn="0" w:lastColumn="0" w:oddVBand="0" w:evenVBand="0" w:oddHBand="0" w:evenHBand="0" w:firstRowFirstColumn="0" w:firstRowLastColumn="0" w:lastRowFirstColumn="0" w:lastRowLastColumn="0"/>
        </w:trPr>
        <w:tc>
          <w:tcPr>
            <w:tcW w:w="1838" w:type="dxa"/>
          </w:tcPr>
          <w:p w14:paraId="069F0A12" w14:textId="730BA83B" w:rsidR="00A00A8C" w:rsidRDefault="00A00A8C" w:rsidP="001C44CC">
            <w:pPr>
              <w:pStyle w:val="NoSpacing"/>
              <w:spacing w:line="276" w:lineRule="auto"/>
              <w:jc w:val="left"/>
              <w:rPr>
                <w:rFonts w:ascii="Arial" w:hAnsi="Arial" w:cs="Arial"/>
              </w:rPr>
            </w:pPr>
            <w:r>
              <w:rPr>
                <w:rFonts w:ascii="Arial" w:hAnsi="Arial" w:cs="Arial"/>
              </w:rPr>
              <w:t>Recorded Reason for ES</w:t>
            </w:r>
          </w:p>
        </w:tc>
        <w:tc>
          <w:tcPr>
            <w:tcW w:w="3686" w:type="dxa"/>
          </w:tcPr>
          <w:p w14:paraId="1E521A26" w14:textId="56F28671" w:rsidR="00A00A8C" w:rsidRDefault="00A00A8C" w:rsidP="001C44CC">
            <w:pPr>
              <w:pStyle w:val="NoSpacing"/>
              <w:spacing w:line="276" w:lineRule="auto"/>
              <w:jc w:val="left"/>
              <w:rPr>
                <w:rFonts w:ascii="Arial" w:hAnsi="Arial" w:cs="Arial"/>
              </w:rPr>
            </w:pPr>
            <w:r>
              <w:rPr>
                <w:rFonts w:ascii="Arial" w:hAnsi="Arial" w:cs="Arial"/>
              </w:rPr>
              <w:t>Definition</w:t>
            </w:r>
          </w:p>
        </w:tc>
        <w:tc>
          <w:tcPr>
            <w:tcW w:w="3492" w:type="dxa"/>
          </w:tcPr>
          <w:p w14:paraId="4EC1F3D4" w14:textId="0406B365" w:rsidR="00A00A8C" w:rsidRDefault="00A00A8C" w:rsidP="001C44CC">
            <w:pPr>
              <w:pStyle w:val="NoSpacing"/>
              <w:spacing w:line="276" w:lineRule="auto"/>
              <w:jc w:val="left"/>
              <w:rPr>
                <w:rFonts w:ascii="Arial" w:hAnsi="Arial" w:cs="Arial"/>
              </w:rPr>
            </w:pPr>
            <w:r>
              <w:rPr>
                <w:rFonts w:ascii="Arial" w:hAnsi="Arial" w:cs="Arial"/>
              </w:rPr>
              <w:t>Typical Business Scenario</w:t>
            </w:r>
          </w:p>
        </w:tc>
      </w:tr>
      <w:tr w:rsidR="00A00A8C" w14:paraId="7F7D2E4F" w14:textId="77777777" w:rsidTr="00642E00">
        <w:trPr>
          <w:cnfStyle w:val="000000100000" w:firstRow="0" w:lastRow="0" w:firstColumn="0" w:lastColumn="0" w:oddVBand="0" w:evenVBand="0" w:oddHBand="1" w:evenHBand="0" w:firstRowFirstColumn="0" w:firstRowLastColumn="0" w:lastRowFirstColumn="0" w:lastRowLastColumn="0"/>
        </w:trPr>
        <w:tc>
          <w:tcPr>
            <w:tcW w:w="1838" w:type="dxa"/>
          </w:tcPr>
          <w:p w14:paraId="6D7A54BF" w14:textId="7CD15758" w:rsidR="00A00A8C" w:rsidRDefault="00A00A8C" w:rsidP="001C44CC">
            <w:pPr>
              <w:pStyle w:val="NoSpacing"/>
              <w:spacing w:line="276" w:lineRule="auto"/>
              <w:jc w:val="left"/>
              <w:rPr>
                <w:rFonts w:ascii="Arial" w:hAnsi="Arial" w:cs="Arial"/>
              </w:rPr>
            </w:pPr>
            <w:r>
              <w:rPr>
                <w:rFonts w:ascii="Arial" w:hAnsi="Arial" w:cs="Arial"/>
              </w:rPr>
              <w:t>Technical Issue</w:t>
            </w:r>
          </w:p>
        </w:tc>
        <w:tc>
          <w:tcPr>
            <w:tcW w:w="3686" w:type="dxa"/>
          </w:tcPr>
          <w:p w14:paraId="09120D44" w14:textId="1348BC9E" w:rsidR="00A00A8C" w:rsidRDefault="001C44CC" w:rsidP="001C44CC">
            <w:pPr>
              <w:pStyle w:val="NoSpacing"/>
              <w:spacing w:line="276" w:lineRule="auto"/>
              <w:jc w:val="left"/>
              <w:rPr>
                <w:rFonts w:ascii="Arial" w:hAnsi="Arial" w:cs="Arial"/>
              </w:rPr>
            </w:pPr>
            <w:r w:rsidRPr="001C44CC">
              <w:rPr>
                <w:rFonts w:ascii="Arial" w:hAnsi="Arial" w:cs="Arial"/>
              </w:rPr>
              <w:t>Where the E</w:t>
            </w:r>
            <w:r w:rsidR="004612FD">
              <w:rPr>
                <w:rFonts w:ascii="Arial" w:hAnsi="Arial" w:cs="Arial"/>
              </w:rPr>
              <w:t>S</w:t>
            </w:r>
            <w:r w:rsidRPr="001C44CC">
              <w:rPr>
                <w:rFonts w:ascii="Arial" w:hAnsi="Arial" w:cs="Arial"/>
              </w:rPr>
              <w:t xml:space="preserve"> process is used by Electricity Suppliers to correct a technical problem whilst at the same time enhancing customer service</w:t>
            </w:r>
            <w:r w:rsidR="00FA6164">
              <w:rPr>
                <w:rFonts w:ascii="Arial" w:hAnsi="Arial" w:cs="Arial"/>
              </w:rPr>
              <w:t>.</w:t>
            </w:r>
          </w:p>
        </w:tc>
        <w:tc>
          <w:tcPr>
            <w:tcW w:w="3492" w:type="dxa"/>
          </w:tcPr>
          <w:p w14:paraId="1493A713" w14:textId="675673F3" w:rsidR="00A00A8C" w:rsidRDefault="001C44CC" w:rsidP="001C44CC">
            <w:pPr>
              <w:pStyle w:val="NoSpacing"/>
              <w:spacing w:line="276" w:lineRule="auto"/>
              <w:jc w:val="left"/>
              <w:rPr>
                <w:rFonts w:ascii="Arial" w:hAnsi="Arial" w:cs="Arial"/>
              </w:rPr>
            </w:pPr>
            <w:r>
              <w:rPr>
                <w:rFonts w:ascii="Arial" w:hAnsi="Arial" w:cs="Arial"/>
              </w:rPr>
              <w:t>Related MPAN</w:t>
            </w:r>
            <w:r w:rsidR="00642E00">
              <w:rPr>
                <w:rFonts w:ascii="Arial" w:hAnsi="Arial" w:cs="Arial"/>
              </w:rPr>
              <w:t xml:space="preserve"> (</w:t>
            </w:r>
            <w:r w:rsidR="002C1357">
              <w:rPr>
                <w:rFonts w:ascii="Arial" w:hAnsi="Arial" w:cs="Arial"/>
              </w:rPr>
              <w:t>i.e. MPANs should be related but are not and have been split by a Switch)</w:t>
            </w:r>
            <w:r w:rsidR="001F08F6">
              <w:rPr>
                <w:rFonts w:ascii="Arial" w:hAnsi="Arial" w:cs="Arial"/>
              </w:rPr>
              <w:t>.</w:t>
            </w:r>
          </w:p>
        </w:tc>
      </w:tr>
    </w:tbl>
    <w:p w14:paraId="61A56169" w14:textId="77777777" w:rsidR="00A00A8C" w:rsidRDefault="00A00A8C" w:rsidP="00C808F7">
      <w:pPr>
        <w:pStyle w:val="NoSpacing"/>
        <w:spacing w:line="276" w:lineRule="auto"/>
        <w:rPr>
          <w:rFonts w:ascii="Arial" w:hAnsi="Arial" w:cs="Arial"/>
        </w:rPr>
      </w:pPr>
    </w:p>
    <w:p w14:paraId="59A3D715" w14:textId="77777777" w:rsidR="00A00A8C" w:rsidRDefault="00A00A8C" w:rsidP="00C808F7">
      <w:pPr>
        <w:pStyle w:val="NoSpacing"/>
        <w:spacing w:line="276" w:lineRule="auto"/>
        <w:rPr>
          <w:rFonts w:ascii="Arial" w:hAnsi="Arial" w:cs="Arial"/>
        </w:rPr>
      </w:pPr>
    </w:p>
    <w:p w14:paraId="1782B016" w14:textId="1F610889" w:rsidR="002C40ED" w:rsidRDefault="002C40ED" w:rsidP="002C40ED">
      <w:pPr>
        <w:pStyle w:val="NoSpacing"/>
        <w:spacing w:line="276" w:lineRule="auto"/>
        <w:rPr>
          <w:rFonts w:ascii="Arial" w:hAnsi="Arial" w:cs="Arial"/>
        </w:rPr>
      </w:pPr>
      <w:r>
        <w:rPr>
          <w:rFonts w:ascii="Arial" w:hAnsi="Arial" w:cs="Arial"/>
        </w:rPr>
        <w:t xml:space="preserve">This was traditionally an issue for Related MPANs prior to the introduction of the CSS, where separate Switch Requests had to be sent for each Related MPANs and accurate billing was dependent on all MPANs </w:t>
      </w:r>
      <w:r w:rsidR="00465190">
        <w:rPr>
          <w:rFonts w:ascii="Arial" w:hAnsi="Arial" w:cs="Arial"/>
        </w:rPr>
        <w:t>S</w:t>
      </w:r>
      <w:r>
        <w:rPr>
          <w:rFonts w:ascii="Arial" w:hAnsi="Arial" w:cs="Arial"/>
        </w:rPr>
        <w:t xml:space="preserve">witching to/from the same Supplier on the same date. It is expected that this issue should be significantly minimalised since the introduction of the CSS, as Related MPANs that are correctly grouped together will now </w:t>
      </w:r>
      <w:r w:rsidR="00465190">
        <w:rPr>
          <w:rFonts w:ascii="Arial" w:hAnsi="Arial" w:cs="Arial"/>
        </w:rPr>
        <w:t>S</w:t>
      </w:r>
      <w:r>
        <w:rPr>
          <w:rFonts w:ascii="Arial" w:hAnsi="Arial" w:cs="Arial"/>
        </w:rPr>
        <w:t xml:space="preserve">witch as a group. </w:t>
      </w:r>
    </w:p>
    <w:p w14:paraId="0BAA0919" w14:textId="77777777" w:rsidR="002C40ED" w:rsidRDefault="002C40ED" w:rsidP="002C40ED">
      <w:pPr>
        <w:pStyle w:val="NoSpacing"/>
        <w:spacing w:line="276" w:lineRule="auto"/>
        <w:rPr>
          <w:rFonts w:ascii="Arial" w:hAnsi="Arial" w:cs="Arial"/>
        </w:rPr>
      </w:pPr>
    </w:p>
    <w:p w14:paraId="026422B8" w14:textId="68913E71" w:rsidR="008A47FF" w:rsidRDefault="002C40ED" w:rsidP="002C40ED">
      <w:pPr>
        <w:pStyle w:val="NoSpacing"/>
        <w:spacing w:line="276" w:lineRule="auto"/>
        <w:rPr>
          <w:rFonts w:ascii="Arial" w:hAnsi="Arial" w:cs="Arial"/>
        </w:rPr>
      </w:pPr>
      <w:r>
        <w:rPr>
          <w:rFonts w:ascii="Arial" w:hAnsi="Arial" w:cs="Arial"/>
        </w:rPr>
        <w:t xml:space="preserve">It is possible that where Related MPANs have not been grouped together, or have been grouped incorrectly, this could still create an Erroneous Switch. This could either be because Related MPANs required to fulfil the contract with the </w:t>
      </w:r>
      <w:r w:rsidR="00465190">
        <w:rPr>
          <w:rFonts w:ascii="Arial" w:hAnsi="Arial" w:cs="Arial"/>
        </w:rPr>
        <w:t>C</w:t>
      </w:r>
      <w:r>
        <w:rPr>
          <w:rFonts w:ascii="Arial" w:hAnsi="Arial" w:cs="Arial"/>
        </w:rPr>
        <w:t>onsumer were not included in the Switch (due to not being correctly related in SMRS) or MPANs that should not have been grouped as related were included in the Switch. In these scenarios, the Supplier may need to correct the Related MPAN grouping prior to initiating an ES (e.g. if only one MPAN in a group needs to be returned and a valid contract exists for all other MPANs).</w:t>
      </w:r>
    </w:p>
    <w:p w14:paraId="1EC03C80" w14:textId="77777777" w:rsidR="008A47FF" w:rsidRDefault="008A47FF" w:rsidP="002C40ED">
      <w:pPr>
        <w:pStyle w:val="NoSpacing"/>
        <w:spacing w:line="276" w:lineRule="auto"/>
        <w:rPr>
          <w:rFonts w:ascii="Arial" w:hAnsi="Arial" w:cs="Arial"/>
        </w:rPr>
      </w:pPr>
    </w:p>
    <w:p w14:paraId="08FA63E1" w14:textId="77777777" w:rsidR="008A47FF" w:rsidRDefault="008A47FF" w:rsidP="002C40ED">
      <w:pPr>
        <w:pStyle w:val="NoSpacing"/>
        <w:spacing w:line="276" w:lineRule="auto"/>
        <w:rPr>
          <w:rFonts w:ascii="Arial" w:hAnsi="Arial" w:cs="Arial"/>
        </w:rPr>
      </w:pPr>
    </w:p>
    <w:p w14:paraId="25BEAFEB" w14:textId="77777777" w:rsidR="008A47FF" w:rsidRDefault="008A47FF">
      <w:r>
        <w:br w:type="page"/>
      </w:r>
    </w:p>
    <w:p w14:paraId="5A51E806" w14:textId="724BBAC8" w:rsidR="008A47FF" w:rsidRPr="004E73D5" w:rsidRDefault="004E73D5" w:rsidP="00183EB5">
      <w:pPr>
        <w:pStyle w:val="Heading1"/>
        <w:numPr>
          <w:ilvl w:val="0"/>
          <w:numId w:val="17"/>
        </w:numPr>
      </w:pPr>
      <w:r w:rsidRPr="004E73D5">
        <w:t>E</w:t>
      </w:r>
      <w:r w:rsidR="00B16A97">
        <w:t>rrone</w:t>
      </w:r>
      <w:r w:rsidR="0026234F">
        <w:t xml:space="preserve">ous </w:t>
      </w:r>
      <w:r w:rsidRPr="004E73D5">
        <w:t>S</w:t>
      </w:r>
      <w:r w:rsidR="0026234F">
        <w:t>witch</w:t>
      </w:r>
      <w:r w:rsidRPr="004E73D5">
        <w:t xml:space="preserve"> Escalation Structure</w:t>
      </w:r>
    </w:p>
    <w:p w14:paraId="735482CC" w14:textId="77777777" w:rsidR="008A47FF" w:rsidRDefault="008A47FF" w:rsidP="002C40ED">
      <w:pPr>
        <w:pStyle w:val="NoSpacing"/>
        <w:spacing w:line="276" w:lineRule="auto"/>
        <w:rPr>
          <w:rFonts w:ascii="Arial" w:hAnsi="Arial" w:cs="Arial"/>
        </w:rPr>
      </w:pPr>
    </w:p>
    <w:p w14:paraId="35F696F8" w14:textId="661A2D46" w:rsidR="00B41F1B" w:rsidRDefault="009E2AF2" w:rsidP="002C40ED">
      <w:pPr>
        <w:pStyle w:val="NoSpacing"/>
        <w:spacing w:line="276" w:lineRule="auto"/>
        <w:rPr>
          <w:rFonts w:ascii="Arial" w:hAnsi="Arial" w:cs="Arial"/>
        </w:rPr>
      </w:pPr>
      <w:r>
        <w:rPr>
          <w:rFonts w:ascii="Arial" w:hAnsi="Arial" w:cs="Arial"/>
        </w:rPr>
        <w:t xml:space="preserve">Schedule 30 sets out the </w:t>
      </w:r>
      <w:r w:rsidR="0013585A">
        <w:rPr>
          <w:rFonts w:ascii="Arial" w:hAnsi="Arial" w:cs="Arial"/>
        </w:rPr>
        <w:t>e</w:t>
      </w:r>
      <w:r w:rsidR="00346B6D">
        <w:rPr>
          <w:rFonts w:ascii="Arial" w:hAnsi="Arial" w:cs="Arial"/>
        </w:rPr>
        <w:t>scalation stages for all processes, not just ES, in section 3.</w:t>
      </w:r>
    </w:p>
    <w:p w14:paraId="3D8C467B" w14:textId="2C000DDE" w:rsidR="00B41F1B" w:rsidRDefault="00B41F1B" w:rsidP="002C40ED">
      <w:pPr>
        <w:pStyle w:val="NoSpacing"/>
        <w:spacing w:line="276" w:lineRule="auto"/>
        <w:rPr>
          <w:rFonts w:ascii="Arial" w:hAnsi="Arial" w:cs="Arial"/>
        </w:rPr>
      </w:pPr>
    </w:p>
    <w:tbl>
      <w:tblPr>
        <w:tblW w:w="9366" w:type="dxa"/>
        <w:jc w:val="center"/>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137"/>
        <w:gridCol w:w="7229"/>
      </w:tblGrid>
      <w:tr w:rsidR="009438DD" w:rsidRPr="00E25E54" w14:paraId="1ED28C90" w14:textId="77777777" w:rsidTr="003A4CCD">
        <w:trPr>
          <w:jc w:val="center"/>
        </w:trPr>
        <w:tc>
          <w:tcPr>
            <w:tcW w:w="2137" w:type="dxa"/>
            <w:tcBorders>
              <w:top w:val="single" w:sz="8" w:space="0" w:color="000000"/>
              <w:left w:val="single" w:sz="8" w:space="0" w:color="000000"/>
              <w:bottom w:val="single" w:sz="8" w:space="0" w:color="000000"/>
              <w:right w:val="single" w:sz="8" w:space="0" w:color="000000"/>
            </w:tcBorders>
            <w:shd w:val="clear" w:color="auto" w:fill="70ADA3" w:themeFill="text2"/>
            <w:tcMar>
              <w:left w:w="0" w:type="dxa"/>
            </w:tcMar>
          </w:tcPr>
          <w:p w14:paraId="41C1C0AC" w14:textId="77777777" w:rsidR="009438DD" w:rsidRPr="003A4CCD" w:rsidRDefault="009438DD">
            <w:pPr>
              <w:widowControl w:val="0"/>
              <w:spacing w:line="276" w:lineRule="auto"/>
              <w:ind w:left="57"/>
              <w:rPr>
                <w:color w:val="FFFFFF" w:themeColor="background2"/>
              </w:rPr>
            </w:pPr>
            <w:r w:rsidRPr="003A4CCD">
              <w:rPr>
                <w:b/>
                <w:color w:val="FFFFFF" w:themeColor="background2"/>
              </w:rPr>
              <w:t>Escalation Route</w:t>
            </w:r>
          </w:p>
        </w:tc>
        <w:tc>
          <w:tcPr>
            <w:tcW w:w="7229" w:type="dxa"/>
            <w:tcBorders>
              <w:top w:val="single" w:sz="8" w:space="0" w:color="000000"/>
              <w:left w:val="single" w:sz="8" w:space="0" w:color="000000"/>
              <w:bottom w:val="single" w:sz="8" w:space="0" w:color="000000"/>
              <w:right w:val="single" w:sz="8" w:space="0" w:color="000000"/>
            </w:tcBorders>
            <w:shd w:val="clear" w:color="auto" w:fill="70ADA3" w:themeFill="text2"/>
            <w:tcMar>
              <w:left w:w="0" w:type="dxa"/>
            </w:tcMar>
          </w:tcPr>
          <w:p w14:paraId="41095A1B" w14:textId="77777777" w:rsidR="009438DD" w:rsidRPr="003A4CCD" w:rsidRDefault="009438DD">
            <w:pPr>
              <w:widowControl w:val="0"/>
              <w:spacing w:line="276" w:lineRule="auto"/>
              <w:ind w:left="57"/>
              <w:rPr>
                <w:color w:val="FFFFFF" w:themeColor="background2"/>
              </w:rPr>
            </w:pPr>
            <w:r w:rsidRPr="003A4CCD">
              <w:rPr>
                <w:b/>
                <w:color w:val="FFFFFF" w:themeColor="background2"/>
              </w:rPr>
              <w:t>Pre-Conditions </w:t>
            </w:r>
          </w:p>
        </w:tc>
      </w:tr>
      <w:tr w:rsidR="009438DD" w:rsidRPr="00E25E54" w14:paraId="547783D5" w14:textId="77777777" w:rsidTr="009438DD">
        <w:trPr>
          <w:jc w:val="center"/>
        </w:trPr>
        <w:tc>
          <w:tcPr>
            <w:tcW w:w="2137" w:type="dxa"/>
            <w:tcBorders>
              <w:top w:val="single" w:sz="8" w:space="0" w:color="696969"/>
              <w:left w:val="single" w:sz="8" w:space="0" w:color="696969"/>
              <w:bottom w:val="single" w:sz="8" w:space="0" w:color="696969"/>
              <w:right w:val="single" w:sz="8" w:space="0" w:color="696969"/>
            </w:tcBorders>
            <w:tcMar>
              <w:left w:w="0" w:type="dxa"/>
            </w:tcMar>
          </w:tcPr>
          <w:p w14:paraId="0E67201F" w14:textId="77777777" w:rsidR="009438DD" w:rsidRPr="00E25E54" w:rsidRDefault="009438DD">
            <w:pPr>
              <w:widowControl w:val="0"/>
              <w:spacing w:line="276" w:lineRule="auto"/>
              <w:ind w:left="57"/>
            </w:pPr>
            <w:hyperlink r:id="rId36">
              <w:r>
                <w:rPr>
                  <w:color w:val="0000FF"/>
                  <w:u w:val="single"/>
                </w:rPr>
                <w:t>Operational Contact</w:t>
              </w:r>
            </w:hyperlink>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2547F465" w14:textId="77777777" w:rsidR="009438DD" w:rsidRPr="00E25E54" w:rsidRDefault="009438DD">
            <w:pPr>
              <w:widowControl w:val="0"/>
              <w:spacing w:line="276" w:lineRule="auto"/>
              <w:ind w:left="57"/>
            </w:pPr>
            <w:r>
              <w:t xml:space="preserve">Response not received, or other required step not taken, within the timescales provided for in this </w:t>
            </w:r>
            <w:hyperlink r:id="rId37">
              <w:r>
                <w:rPr>
                  <w:color w:val="0000FF"/>
                  <w:u w:val="single"/>
                </w:rPr>
                <w:t>REC Schedule</w:t>
              </w:r>
            </w:hyperlink>
            <w:r>
              <w:t>, or such response or step is not satisfactory.</w:t>
            </w:r>
          </w:p>
        </w:tc>
      </w:tr>
      <w:tr w:rsidR="009438DD" w:rsidRPr="00E25E54" w14:paraId="32D9A099" w14:textId="77777777" w:rsidTr="009438DD">
        <w:trPr>
          <w:jc w:val="center"/>
        </w:trPr>
        <w:tc>
          <w:tcPr>
            <w:tcW w:w="2137" w:type="dxa"/>
            <w:tcBorders>
              <w:top w:val="single" w:sz="8" w:space="0" w:color="696969"/>
              <w:left w:val="single" w:sz="8" w:space="0" w:color="696969"/>
              <w:bottom w:val="single" w:sz="8" w:space="0" w:color="696969"/>
              <w:right w:val="single" w:sz="8" w:space="0" w:color="696969"/>
            </w:tcBorders>
            <w:tcMar>
              <w:left w:w="0" w:type="dxa"/>
            </w:tcMar>
          </w:tcPr>
          <w:p w14:paraId="0809649D" w14:textId="77777777" w:rsidR="009438DD" w:rsidRPr="00E25E54" w:rsidRDefault="009438DD">
            <w:pPr>
              <w:widowControl w:val="0"/>
              <w:spacing w:line="276" w:lineRule="auto"/>
              <w:ind w:left="57"/>
            </w:pPr>
            <w:hyperlink r:id="rId38">
              <w:r>
                <w:rPr>
                  <w:color w:val="0000FF"/>
                  <w:u w:val="single"/>
                </w:rPr>
                <w:t>Contract Manager</w:t>
              </w:r>
            </w:hyperlink>
            <w:r>
              <w:t> </w:t>
            </w:r>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6B659387" w14:textId="77777777" w:rsidR="009438DD" w:rsidRPr="00E25E54" w:rsidRDefault="009438DD">
            <w:pPr>
              <w:widowControl w:val="0"/>
              <w:spacing w:line="276" w:lineRule="auto"/>
              <w:ind w:left="57"/>
            </w:pPr>
            <w:r>
              <w:t>After five </w:t>
            </w:r>
            <w:hyperlink r:id="rId39">
              <w:r>
                <w:rPr>
                  <w:color w:val="0000FF"/>
                  <w:u w:val="single"/>
                </w:rPr>
                <w:t>Working Day</w:t>
              </w:r>
            </w:hyperlink>
            <w:r>
              <w:t xml:space="preserve">s of escalating the issue to the </w:t>
            </w:r>
            <w:hyperlink r:id="rId40">
              <w:r>
                <w:rPr>
                  <w:color w:val="0000FF"/>
                  <w:u w:val="single"/>
                </w:rPr>
                <w:t>Operational Contact</w:t>
              </w:r>
            </w:hyperlink>
            <w:r>
              <w:t>. </w:t>
            </w:r>
          </w:p>
        </w:tc>
      </w:tr>
      <w:tr w:rsidR="009438DD" w:rsidRPr="00E25E54" w14:paraId="2ED32443" w14:textId="77777777" w:rsidTr="009438DD">
        <w:trPr>
          <w:jc w:val="center"/>
        </w:trPr>
        <w:tc>
          <w:tcPr>
            <w:tcW w:w="2137" w:type="dxa"/>
            <w:tcBorders>
              <w:top w:val="single" w:sz="8" w:space="0" w:color="696969"/>
              <w:left w:val="single" w:sz="8" w:space="0" w:color="696969"/>
              <w:bottom w:val="single" w:sz="8" w:space="0" w:color="696969"/>
              <w:right w:val="single" w:sz="8" w:space="0" w:color="696969"/>
            </w:tcBorders>
            <w:tcMar>
              <w:left w:w="0" w:type="dxa"/>
            </w:tcMar>
          </w:tcPr>
          <w:p w14:paraId="61F2DF7A" w14:textId="77777777" w:rsidR="009438DD" w:rsidRPr="00E25E54" w:rsidRDefault="009438DD">
            <w:pPr>
              <w:widowControl w:val="0"/>
              <w:spacing w:line="276" w:lineRule="auto"/>
              <w:ind w:left="57"/>
            </w:pPr>
            <w:hyperlink r:id="rId41">
              <w:r>
                <w:rPr>
                  <w:color w:val="0000FF"/>
                  <w:u w:val="single"/>
                </w:rPr>
                <w:t>Code Manager</w:t>
              </w:r>
            </w:hyperlink>
            <w:r>
              <w:t> </w:t>
            </w:r>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3D74399E" w14:textId="77777777" w:rsidR="009438DD" w:rsidRPr="00E25E54" w:rsidRDefault="009438DD">
            <w:pPr>
              <w:widowControl w:val="0"/>
              <w:spacing w:line="276" w:lineRule="auto"/>
              <w:ind w:left="57"/>
            </w:pPr>
            <w:r>
              <w:t xml:space="preserve">The </w:t>
            </w:r>
            <w:hyperlink r:id="rId42">
              <w:r>
                <w:rPr>
                  <w:color w:val="0000FF"/>
                  <w:u w:val="single"/>
                </w:rPr>
                <w:t>Party</w:t>
              </w:r>
            </w:hyperlink>
            <w:r>
              <w:t xml:space="preserve"> may notify the </w:t>
            </w:r>
            <w:hyperlink r:id="rId43">
              <w:r>
                <w:rPr>
                  <w:color w:val="0000FF"/>
                  <w:u w:val="single"/>
                </w:rPr>
                <w:t>Code Manager</w:t>
              </w:r>
            </w:hyperlink>
            <w:r>
              <w:t xml:space="preserve"> after five </w:t>
            </w:r>
            <w:hyperlink r:id="rId44">
              <w:r>
                <w:rPr>
                  <w:color w:val="0000FF"/>
                  <w:u w:val="single"/>
                </w:rPr>
                <w:t>Working Day</w:t>
              </w:r>
            </w:hyperlink>
            <w:r>
              <w:t xml:space="preserve">s of escalating the issue to the </w:t>
            </w:r>
            <w:hyperlink r:id="rId45">
              <w:r>
                <w:rPr>
                  <w:color w:val="0000FF"/>
                  <w:u w:val="single"/>
                </w:rPr>
                <w:t>Contract Manager</w:t>
              </w:r>
            </w:hyperlink>
            <w:r>
              <w:t>. </w:t>
            </w:r>
          </w:p>
        </w:tc>
      </w:tr>
      <w:tr w:rsidR="009438DD" w:rsidRPr="00E25E54" w14:paraId="2A3FCFFC" w14:textId="77777777" w:rsidTr="009438DD">
        <w:trPr>
          <w:jc w:val="center"/>
        </w:trPr>
        <w:tc>
          <w:tcPr>
            <w:tcW w:w="2137" w:type="dxa"/>
            <w:tcBorders>
              <w:top w:val="single" w:sz="8" w:space="0" w:color="696969"/>
              <w:left w:val="single" w:sz="8" w:space="0" w:color="696969"/>
              <w:bottom w:val="single" w:sz="8" w:space="0" w:color="696969"/>
              <w:right w:val="single" w:sz="8" w:space="0" w:color="696969"/>
            </w:tcBorders>
            <w:tcMar>
              <w:left w:w="0" w:type="dxa"/>
            </w:tcMar>
          </w:tcPr>
          <w:p w14:paraId="7522EB37" w14:textId="77777777" w:rsidR="009438DD" w:rsidRPr="00E25E54" w:rsidRDefault="009438DD">
            <w:pPr>
              <w:widowControl w:val="0"/>
              <w:spacing w:line="276" w:lineRule="auto"/>
              <w:ind w:left="57"/>
            </w:pPr>
            <w:hyperlink r:id="rId46">
              <w:r>
                <w:rPr>
                  <w:color w:val="0000FF"/>
                  <w:u w:val="single"/>
                </w:rPr>
                <w:t>REC Performance Assurance Board</w:t>
              </w:r>
            </w:hyperlink>
          </w:p>
        </w:tc>
        <w:tc>
          <w:tcPr>
            <w:tcW w:w="7229" w:type="dxa"/>
            <w:tcBorders>
              <w:top w:val="single" w:sz="8" w:space="0" w:color="696969"/>
              <w:left w:val="single" w:sz="8" w:space="0" w:color="696969"/>
              <w:bottom w:val="single" w:sz="8" w:space="0" w:color="696969"/>
              <w:right w:val="single" w:sz="8" w:space="0" w:color="696969"/>
            </w:tcBorders>
            <w:tcMar>
              <w:left w:w="0" w:type="dxa"/>
            </w:tcMar>
          </w:tcPr>
          <w:p w14:paraId="57A684C1" w14:textId="77777777" w:rsidR="009438DD" w:rsidRPr="00E25E54" w:rsidRDefault="009438DD">
            <w:pPr>
              <w:widowControl w:val="0"/>
              <w:spacing w:line="276" w:lineRule="auto"/>
              <w:ind w:left="57"/>
            </w:pPr>
            <w:r>
              <w:t xml:space="preserve">As agreed between the </w:t>
            </w:r>
            <w:hyperlink r:id="rId47">
              <w:r>
                <w:rPr>
                  <w:color w:val="0000FF"/>
                  <w:u w:val="single"/>
                </w:rPr>
                <w:t>Code Manager</w:t>
              </w:r>
            </w:hyperlink>
            <w:r>
              <w:t xml:space="preserve"> and the </w:t>
            </w:r>
            <w:hyperlink r:id="rId48">
              <w:r>
                <w:rPr>
                  <w:color w:val="0000FF"/>
                  <w:u w:val="single"/>
                </w:rPr>
                <w:t>REC PAB</w:t>
              </w:r>
            </w:hyperlink>
            <w:r>
              <w:t>.</w:t>
            </w:r>
          </w:p>
        </w:tc>
      </w:tr>
    </w:tbl>
    <w:p w14:paraId="6ECD546D" w14:textId="77777777" w:rsidR="007C5815" w:rsidRDefault="007C5815" w:rsidP="002C40ED">
      <w:pPr>
        <w:pStyle w:val="NoSpacing"/>
        <w:spacing w:line="276" w:lineRule="auto"/>
        <w:rPr>
          <w:rFonts w:ascii="Arial" w:hAnsi="Arial" w:cs="Arial"/>
        </w:rPr>
      </w:pPr>
    </w:p>
    <w:p w14:paraId="7D3616B9" w14:textId="0E47566A" w:rsidR="0035310C" w:rsidRDefault="0035310C" w:rsidP="002C40ED">
      <w:pPr>
        <w:pStyle w:val="NoSpacing"/>
        <w:spacing w:line="276" w:lineRule="auto"/>
        <w:rPr>
          <w:rFonts w:ascii="Arial" w:hAnsi="Arial" w:cs="Arial"/>
        </w:rPr>
      </w:pPr>
      <w:r>
        <w:rPr>
          <w:rFonts w:ascii="Arial" w:hAnsi="Arial" w:cs="Arial"/>
        </w:rPr>
        <w:t xml:space="preserve">Additionally there is REC </w:t>
      </w:r>
      <w:r w:rsidR="009E5212">
        <w:rPr>
          <w:rFonts w:ascii="Arial" w:hAnsi="Arial" w:cs="Arial"/>
        </w:rPr>
        <w:t xml:space="preserve">user guide for the use of </w:t>
      </w:r>
      <w:hyperlink r:id="rId49" w:history="1">
        <w:r w:rsidR="009E5212" w:rsidRPr="00C442AE">
          <w:rPr>
            <w:rStyle w:val="Hyperlink"/>
            <w:rFonts w:ascii="Arial" w:hAnsi="Arial" w:cs="Arial"/>
          </w:rPr>
          <w:t>SDEP</w:t>
        </w:r>
      </w:hyperlink>
      <w:r w:rsidR="00C442AE">
        <w:rPr>
          <w:rFonts w:ascii="Arial" w:hAnsi="Arial" w:cs="Arial"/>
        </w:rPr>
        <w:t xml:space="preserve"> and a clarif</w:t>
      </w:r>
      <w:r w:rsidR="007C6A08">
        <w:rPr>
          <w:rFonts w:ascii="Arial" w:hAnsi="Arial" w:cs="Arial"/>
        </w:rPr>
        <w:t xml:space="preserve">ication guideline for </w:t>
      </w:r>
      <w:hyperlink r:id="rId50" w:history="1">
        <w:r w:rsidR="007C6A08" w:rsidRPr="007C6A08">
          <w:rPr>
            <w:rStyle w:val="Hyperlink"/>
            <w:rFonts w:ascii="Arial" w:hAnsi="Arial" w:cs="Arial"/>
          </w:rPr>
          <w:t>SDEP escalations</w:t>
        </w:r>
      </w:hyperlink>
      <w:r w:rsidR="007C6A08">
        <w:rPr>
          <w:rFonts w:ascii="Arial" w:hAnsi="Arial" w:cs="Arial"/>
        </w:rPr>
        <w:t>.</w:t>
      </w:r>
    </w:p>
    <w:p w14:paraId="3C7B447F" w14:textId="77777777" w:rsidR="007C6A08" w:rsidRDefault="007C6A08" w:rsidP="002C40ED">
      <w:pPr>
        <w:pStyle w:val="NoSpacing"/>
        <w:spacing w:line="276" w:lineRule="auto"/>
        <w:rPr>
          <w:rFonts w:ascii="Arial" w:hAnsi="Arial" w:cs="Arial"/>
        </w:rPr>
      </w:pPr>
    </w:p>
    <w:p w14:paraId="5E957782" w14:textId="4A8005C5" w:rsidR="00716D6A" w:rsidRDefault="00563EDA" w:rsidP="002C40ED">
      <w:pPr>
        <w:pStyle w:val="NoSpacing"/>
        <w:spacing w:line="276" w:lineRule="auto"/>
        <w:rPr>
          <w:rFonts w:ascii="Arial" w:hAnsi="Arial" w:cs="Arial"/>
        </w:rPr>
      </w:pPr>
      <w:r>
        <w:rPr>
          <w:rFonts w:ascii="Arial" w:hAnsi="Arial" w:cs="Arial"/>
        </w:rPr>
        <w:t xml:space="preserve">For </w:t>
      </w:r>
      <w:r w:rsidR="00806FD8">
        <w:rPr>
          <w:rFonts w:ascii="Arial" w:hAnsi="Arial" w:cs="Arial"/>
        </w:rPr>
        <w:t xml:space="preserve">an </w:t>
      </w:r>
      <w:r>
        <w:rPr>
          <w:rFonts w:ascii="Arial" w:hAnsi="Arial" w:cs="Arial"/>
        </w:rPr>
        <w:t xml:space="preserve">ES this </w:t>
      </w:r>
      <w:r w:rsidR="00716D6A">
        <w:rPr>
          <w:rFonts w:ascii="Arial" w:hAnsi="Arial" w:cs="Arial"/>
        </w:rPr>
        <w:t>specially means the following:</w:t>
      </w:r>
    </w:p>
    <w:p w14:paraId="2A818CBE" w14:textId="77777777" w:rsidR="00716D6A" w:rsidRDefault="00716D6A" w:rsidP="002C40ED">
      <w:pPr>
        <w:pStyle w:val="NoSpacing"/>
        <w:spacing w:line="276" w:lineRule="auto"/>
        <w:rPr>
          <w:rFonts w:ascii="Arial" w:hAnsi="Arial" w:cs="Arial"/>
        </w:rPr>
      </w:pPr>
    </w:p>
    <w:tbl>
      <w:tblPr>
        <w:tblStyle w:val="TableGrid"/>
        <w:tblW w:w="9493"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323"/>
        <w:gridCol w:w="1845"/>
        <w:gridCol w:w="3694"/>
        <w:gridCol w:w="2631"/>
      </w:tblGrid>
      <w:tr w:rsidR="003A348E" w14:paraId="7B7AE99A" w14:textId="77777777" w:rsidTr="00043529">
        <w:trPr>
          <w:cnfStyle w:val="100000000000" w:firstRow="1" w:lastRow="0" w:firstColumn="0" w:lastColumn="0" w:oddVBand="0" w:evenVBand="0" w:oddHBand="0" w:evenHBand="0" w:firstRowFirstColumn="0" w:firstRowLastColumn="0" w:lastRowFirstColumn="0" w:lastRowLastColumn="0"/>
        </w:trPr>
        <w:tc>
          <w:tcPr>
            <w:tcW w:w="1323" w:type="dxa"/>
          </w:tcPr>
          <w:p w14:paraId="6B3A9E34" w14:textId="7734B08C" w:rsidR="003A348E" w:rsidRDefault="003A348E" w:rsidP="001A454E">
            <w:pPr>
              <w:pStyle w:val="NoSpacing"/>
              <w:spacing w:line="276" w:lineRule="auto"/>
              <w:jc w:val="left"/>
              <w:rPr>
                <w:rFonts w:ascii="Arial" w:hAnsi="Arial" w:cs="Arial"/>
              </w:rPr>
            </w:pPr>
            <w:r>
              <w:rPr>
                <w:rFonts w:ascii="Arial" w:hAnsi="Arial" w:cs="Arial"/>
              </w:rPr>
              <w:t>Escalation Route</w:t>
            </w:r>
          </w:p>
        </w:tc>
        <w:tc>
          <w:tcPr>
            <w:tcW w:w="1845" w:type="dxa"/>
          </w:tcPr>
          <w:p w14:paraId="157C62FE" w14:textId="5C3F4BBC" w:rsidR="003A348E" w:rsidRDefault="00F814EC" w:rsidP="001A454E">
            <w:pPr>
              <w:pStyle w:val="NoSpacing"/>
              <w:spacing w:line="276" w:lineRule="auto"/>
              <w:jc w:val="left"/>
              <w:rPr>
                <w:rFonts w:ascii="Arial" w:hAnsi="Arial" w:cs="Arial"/>
              </w:rPr>
            </w:pPr>
            <w:r>
              <w:rPr>
                <w:rFonts w:ascii="Arial" w:hAnsi="Arial" w:cs="Arial"/>
              </w:rPr>
              <w:t>When</w:t>
            </w:r>
          </w:p>
        </w:tc>
        <w:tc>
          <w:tcPr>
            <w:tcW w:w="3694" w:type="dxa"/>
          </w:tcPr>
          <w:p w14:paraId="42D42DF3" w14:textId="1E1B3992" w:rsidR="003A348E" w:rsidRDefault="003A348E" w:rsidP="001A454E">
            <w:pPr>
              <w:pStyle w:val="NoSpacing"/>
              <w:spacing w:line="276" w:lineRule="auto"/>
              <w:jc w:val="left"/>
              <w:rPr>
                <w:rFonts w:ascii="Arial" w:hAnsi="Arial" w:cs="Arial"/>
              </w:rPr>
            </w:pPr>
            <w:r>
              <w:rPr>
                <w:rFonts w:ascii="Arial" w:hAnsi="Arial" w:cs="Arial"/>
              </w:rPr>
              <w:t>Mechanism</w:t>
            </w:r>
          </w:p>
        </w:tc>
        <w:tc>
          <w:tcPr>
            <w:tcW w:w="2631" w:type="dxa"/>
          </w:tcPr>
          <w:p w14:paraId="60F393D3" w14:textId="71E51EE6" w:rsidR="003A348E" w:rsidRDefault="003A348E" w:rsidP="001A454E">
            <w:pPr>
              <w:pStyle w:val="NoSpacing"/>
              <w:spacing w:line="276" w:lineRule="auto"/>
              <w:jc w:val="left"/>
              <w:rPr>
                <w:rFonts w:ascii="Arial" w:hAnsi="Arial" w:cs="Arial"/>
              </w:rPr>
            </w:pPr>
            <w:r>
              <w:rPr>
                <w:rFonts w:ascii="Arial" w:hAnsi="Arial" w:cs="Arial"/>
              </w:rPr>
              <w:t>What does this mean?</w:t>
            </w:r>
          </w:p>
        </w:tc>
      </w:tr>
      <w:tr w:rsidR="003A348E" w14:paraId="4B687345" w14:textId="77777777" w:rsidTr="00043529">
        <w:trPr>
          <w:cnfStyle w:val="000000100000" w:firstRow="0" w:lastRow="0" w:firstColumn="0" w:lastColumn="0" w:oddVBand="0" w:evenVBand="0" w:oddHBand="1" w:evenHBand="0" w:firstRowFirstColumn="0" w:firstRowLastColumn="0" w:lastRowFirstColumn="0" w:lastRowLastColumn="0"/>
        </w:trPr>
        <w:tc>
          <w:tcPr>
            <w:tcW w:w="1323" w:type="dxa"/>
          </w:tcPr>
          <w:p w14:paraId="3560C4FD" w14:textId="0999C835" w:rsidR="003A348E" w:rsidRDefault="003A348E" w:rsidP="00EB38D6">
            <w:pPr>
              <w:pStyle w:val="NoSpacing"/>
              <w:spacing w:line="276" w:lineRule="auto"/>
              <w:jc w:val="left"/>
              <w:rPr>
                <w:rFonts w:ascii="Arial" w:hAnsi="Arial" w:cs="Arial"/>
              </w:rPr>
            </w:pPr>
            <w:r>
              <w:rPr>
                <w:rFonts w:ascii="Arial" w:hAnsi="Arial" w:cs="Arial"/>
              </w:rPr>
              <w:t>Operational Contact</w:t>
            </w:r>
          </w:p>
        </w:tc>
        <w:tc>
          <w:tcPr>
            <w:tcW w:w="1845" w:type="dxa"/>
          </w:tcPr>
          <w:p w14:paraId="21EA951B" w14:textId="77777777" w:rsidR="003A348E" w:rsidRDefault="002D19D0" w:rsidP="00F814EC">
            <w:pPr>
              <w:pStyle w:val="NoSpacing"/>
              <w:spacing w:line="276" w:lineRule="auto"/>
              <w:jc w:val="left"/>
              <w:rPr>
                <w:rFonts w:ascii="Arial" w:hAnsi="Arial" w:cs="Arial"/>
              </w:rPr>
            </w:pPr>
            <w:r>
              <w:rPr>
                <w:rFonts w:ascii="Arial" w:hAnsi="Arial" w:cs="Arial"/>
              </w:rPr>
              <w:t xml:space="preserve">New supplier response </w:t>
            </w:r>
            <w:r w:rsidR="00793D49">
              <w:rPr>
                <w:rFonts w:ascii="Arial" w:hAnsi="Arial" w:cs="Arial"/>
              </w:rPr>
              <w:t>–</w:t>
            </w:r>
            <w:r>
              <w:rPr>
                <w:rFonts w:ascii="Arial" w:hAnsi="Arial" w:cs="Arial"/>
              </w:rPr>
              <w:t xml:space="preserve"> </w:t>
            </w:r>
            <w:r w:rsidR="00793D49">
              <w:rPr>
                <w:rFonts w:ascii="Arial" w:hAnsi="Arial" w:cs="Arial"/>
              </w:rPr>
              <w:t>8WD</w:t>
            </w:r>
          </w:p>
          <w:p w14:paraId="1762884B" w14:textId="77777777" w:rsidR="00793D49" w:rsidRDefault="00793D49" w:rsidP="00F814EC">
            <w:pPr>
              <w:pStyle w:val="NoSpacing"/>
              <w:spacing w:line="276" w:lineRule="auto"/>
              <w:jc w:val="left"/>
              <w:rPr>
                <w:rFonts w:ascii="Arial" w:hAnsi="Arial" w:cs="Arial"/>
              </w:rPr>
            </w:pPr>
            <w:r>
              <w:rPr>
                <w:rFonts w:ascii="Arial" w:hAnsi="Arial" w:cs="Arial"/>
              </w:rPr>
              <w:t>Old supplier response – 2WD</w:t>
            </w:r>
          </w:p>
          <w:p w14:paraId="4C7E78EC" w14:textId="1895C068" w:rsidR="00793D49" w:rsidRDefault="00793D49" w:rsidP="00F814EC">
            <w:pPr>
              <w:pStyle w:val="NoSpacing"/>
              <w:spacing w:line="276" w:lineRule="auto"/>
              <w:jc w:val="left"/>
              <w:rPr>
                <w:rFonts w:ascii="Arial" w:hAnsi="Arial" w:cs="Arial"/>
              </w:rPr>
            </w:pPr>
            <w:r>
              <w:rPr>
                <w:rFonts w:ascii="Arial" w:hAnsi="Arial" w:cs="Arial"/>
              </w:rPr>
              <w:t>Old supplier re-registration – 2WD</w:t>
            </w:r>
          </w:p>
        </w:tc>
        <w:tc>
          <w:tcPr>
            <w:tcW w:w="3694" w:type="dxa"/>
          </w:tcPr>
          <w:p w14:paraId="11592528" w14:textId="0430501F" w:rsidR="003A348E" w:rsidRDefault="003A348E" w:rsidP="00EB38D6">
            <w:pPr>
              <w:pStyle w:val="NoSpacing"/>
              <w:spacing w:line="276" w:lineRule="auto"/>
              <w:jc w:val="left"/>
              <w:rPr>
                <w:rFonts w:ascii="Arial" w:hAnsi="Arial" w:cs="Arial"/>
              </w:rPr>
            </w:pPr>
            <w:r>
              <w:rPr>
                <w:rFonts w:ascii="Arial" w:hAnsi="Arial" w:cs="Arial"/>
              </w:rPr>
              <w:t>PT0013 – electricity</w:t>
            </w:r>
          </w:p>
          <w:p w14:paraId="5C71E41E" w14:textId="3F65AD80" w:rsidR="003A348E" w:rsidRDefault="003A348E" w:rsidP="00EB38D6">
            <w:pPr>
              <w:pStyle w:val="NoSpacing"/>
              <w:spacing w:line="276" w:lineRule="auto"/>
              <w:jc w:val="left"/>
              <w:rPr>
                <w:rFonts w:ascii="Arial" w:hAnsi="Arial" w:cs="Arial"/>
              </w:rPr>
            </w:pPr>
            <w:r>
              <w:rPr>
                <w:rFonts w:ascii="Arial" w:hAnsi="Arial" w:cs="Arial"/>
              </w:rPr>
              <w:t>PT0034 - gas</w:t>
            </w:r>
          </w:p>
        </w:tc>
        <w:tc>
          <w:tcPr>
            <w:tcW w:w="2631" w:type="dxa"/>
          </w:tcPr>
          <w:p w14:paraId="1849344F" w14:textId="1F65B8B4" w:rsidR="003A348E" w:rsidRDefault="003A348E" w:rsidP="00EB38D6">
            <w:pPr>
              <w:pStyle w:val="NoSpacing"/>
              <w:spacing w:line="276" w:lineRule="auto"/>
              <w:jc w:val="left"/>
              <w:rPr>
                <w:rFonts w:ascii="Arial" w:hAnsi="Arial" w:cs="Arial"/>
              </w:rPr>
            </w:pPr>
            <w:r>
              <w:rPr>
                <w:rFonts w:ascii="Arial" w:hAnsi="Arial" w:cs="Arial"/>
              </w:rPr>
              <w:t>All information sent / responded to via SDEP</w:t>
            </w:r>
            <w:r w:rsidR="00470BE5">
              <w:rPr>
                <w:rFonts w:ascii="Arial" w:hAnsi="Arial" w:cs="Arial"/>
              </w:rPr>
              <w:t xml:space="preserve">. Only escalate once the SLA has </w:t>
            </w:r>
            <w:r w:rsidR="00134B92">
              <w:rPr>
                <w:rFonts w:ascii="Arial" w:hAnsi="Arial" w:cs="Arial"/>
              </w:rPr>
              <w:t>passed</w:t>
            </w:r>
          </w:p>
        </w:tc>
      </w:tr>
      <w:tr w:rsidR="003A348E" w14:paraId="0BC39D07" w14:textId="77777777" w:rsidTr="00043529">
        <w:trPr>
          <w:cnfStyle w:val="000000010000" w:firstRow="0" w:lastRow="0" w:firstColumn="0" w:lastColumn="0" w:oddVBand="0" w:evenVBand="0" w:oddHBand="0" w:evenHBand="1" w:firstRowFirstColumn="0" w:firstRowLastColumn="0" w:lastRowFirstColumn="0" w:lastRowLastColumn="0"/>
        </w:trPr>
        <w:tc>
          <w:tcPr>
            <w:tcW w:w="1323" w:type="dxa"/>
          </w:tcPr>
          <w:p w14:paraId="011AFD3B" w14:textId="40A52216" w:rsidR="003A348E" w:rsidRDefault="003A348E" w:rsidP="00E27B9A">
            <w:pPr>
              <w:pStyle w:val="NoSpacing"/>
              <w:spacing w:line="276" w:lineRule="auto"/>
              <w:jc w:val="left"/>
              <w:rPr>
                <w:rFonts w:ascii="Arial" w:hAnsi="Arial" w:cs="Arial"/>
              </w:rPr>
            </w:pPr>
            <w:r>
              <w:rPr>
                <w:rFonts w:ascii="Arial" w:hAnsi="Arial" w:cs="Arial"/>
              </w:rPr>
              <w:t>Contract Manager</w:t>
            </w:r>
          </w:p>
        </w:tc>
        <w:tc>
          <w:tcPr>
            <w:tcW w:w="1845" w:type="dxa"/>
          </w:tcPr>
          <w:p w14:paraId="358193B4" w14:textId="1A7D4BD0" w:rsidR="003A348E" w:rsidRDefault="00134B92" w:rsidP="00F814EC">
            <w:pPr>
              <w:pStyle w:val="NoSpacing"/>
              <w:spacing w:line="276" w:lineRule="auto"/>
              <w:jc w:val="left"/>
              <w:rPr>
                <w:rFonts w:ascii="Arial" w:hAnsi="Arial" w:cs="Arial"/>
              </w:rPr>
            </w:pPr>
            <w:r>
              <w:rPr>
                <w:rFonts w:ascii="Arial" w:hAnsi="Arial" w:cs="Arial"/>
              </w:rPr>
              <w:t>5WD after operational contact</w:t>
            </w:r>
          </w:p>
        </w:tc>
        <w:tc>
          <w:tcPr>
            <w:tcW w:w="3694" w:type="dxa"/>
          </w:tcPr>
          <w:p w14:paraId="6FB3B6A3" w14:textId="0EA39B18" w:rsidR="003A348E" w:rsidRDefault="003A348E" w:rsidP="00E27B9A">
            <w:pPr>
              <w:pStyle w:val="NoSpacing"/>
              <w:spacing w:line="276" w:lineRule="auto"/>
              <w:jc w:val="left"/>
              <w:rPr>
                <w:rFonts w:ascii="Arial" w:hAnsi="Arial" w:cs="Arial"/>
              </w:rPr>
            </w:pPr>
            <w:r>
              <w:rPr>
                <w:rFonts w:ascii="Arial" w:hAnsi="Arial" w:cs="Arial"/>
              </w:rPr>
              <w:t>PT0031 – electricity</w:t>
            </w:r>
          </w:p>
          <w:p w14:paraId="037167C6" w14:textId="0B91AEE2" w:rsidR="003A348E" w:rsidRDefault="003A348E" w:rsidP="00E27B9A">
            <w:pPr>
              <w:pStyle w:val="NoSpacing"/>
              <w:spacing w:line="276" w:lineRule="auto"/>
              <w:jc w:val="left"/>
              <w:rPr>
                <w:rFonts w:ascii="Arial" w:hAnsi="Arial" w:cs="Arial"/>
              </w:rPr>
            </w:pPr>
            <w:r>
              <w:rPr>
                <w:rFonts w:ascii="Arial" w:hAnsi="Arial" w:cs="Arial"/>
              </w:rPr>
              <w:t>PT0043 – gas</w:t>
            </w:r>
          </w:p>
        </w:tc>
        <w:tc>
          <w:tcPr>
            <w:tcW w:w="2631" w:type="dxa"/>
          </w:tcPr>
          <w:p w14:paraId="30A6D845" w14:textId="35076103" w:rsidR="003A348E" w:rsidRDefault="003A348E" w:rsidP="00E27B9A">
            <w:pPr>
              <w:pStyle w:val="NoSpacing"/>
              <w:spacing w:line="276" w:lineRule="auto"/>
              <w:jc w:val="left"/>
              <w:rPr>
                <w:rFonts w:ascii="Arial" w:hAnsi="Arial" w:cs="Arial"/>
              </w:rPr>
            </w:pPr>
            <w:r>
              <w:rPr>
                <w:rFonts w:ascii="Arial" w:hAnsi="Arial" w:cs="Arial"/>
              </w:rPr>
              <w:t>All information sent / responded to via SDEP</w:t>
            </w:r>
          </w:p>
        </w:tc>
      </w:tr>
      <w:tr w:rsidR="003A348E" w14:paraId="416A478E" w14:textId="77777777" w:rsidTr="00043529">
        <w:trPr>
          <w:cnfStyle w:val="000000100000" w:firstRow="0" w:lastRow="0" w:firstColumn="0" w:lastColumn="0" w:oddVBand="0" w:evenVBand="0" w:oddHBand="1" w:evenHBand="0" w:firstRowFirstColumn="0" w:firstRowLastColumn="0" w:lastRowFirstColumn="0" w:lastRowLastColumn="0"/>
        </w:trPr>
        <w:tc>
          <w:tcPr>
            <w:tcW w:w="1323" w:type="dxa"/>
          </w:tcPr>
          <w:p w14:paraId="6A6BD471" w14:textId="555EBFBF" w:rsidR="003A348E" w:rsidRDefault="003A348E" w:rsidP="00E27B9A">
            <w:pPr>
              <w:pStyle w:val="NoSpacing"/>
              <w:spacing w:line="276" w:lineRule="auto"/>
              <w:jc w:val="left"/>
              <w:rPr>
                <w:rFonts w:ascii="Arial" w:hAnsi="Arial" w:cs="Arial"/>
              </w:rPr>
            </w:pPr>
            <w:r>
              <w:rPr>
                <w:rFonts w:ascii="Arial" w:hAnsi="Arial" w:cs="Arial"/>
              </w:rPr>
              <w:t xml:space="preserve">Code Manager </w:t>
            </w:r>
          </w:p>
        </w:tc>
        <w:tc>
          <w:tcPr>
            <w:tcW w:w="1845" w:type="dxa"/>
          </w:tcPr>
          <w:p w14:paraId="0D00FF9F" w14:textId="5522D3E4" w:rsidR="003A348E" w:rsidRDefault="00134B92" w:rsidP="00F814EC">
            <w:pPr>
              <w:pStyle w:val="NoSpacing"/>
              <w:spacing w:line="276" w:lineRule="auto"/>
              <w:jc w:val="left"/>
              <w:rPr>
                <w:rFonts w:ascii="Arial" w:hAnsi="Arial" w:cs="Arial"/>
              </w:rPr>
            </w:pPr>
            <w:r>
              <w:rPr>
                <w:rFonts w:ascii="Arial" w:hAnsi="Arial" w:cs="Arial"/>
              </w:rPr>
              <w:t>At least 5WD after Contract Manager</w:t>
            </w:r>
          </w:p>
        </w:tc>
        <w:tc>
          <w:tcPr>
            <w:tcW w:w="3694" w:type="dxa"/>
          </w:tcPr>
          <w:p w14:paraId="45C1F2C4" w14:textId="1B5AFF4D" w:rsidR="003A348E" w:rsidRDefault="003A348E" w:rsidP="00E27B9A">
            <w:pPr>
              <w:pStyle w:val="NoSpacing"/>
              <w:spacing w:line="276" w:lineRule="auto"/>
              <w:jc w:val="left"/>
              <w:rPr>
                <w:rFonts w:ascii="Arial" w:hAnsi="Arial" w:cs="Arial"/>
              </w:rPr>
            </w:pPr>
            <w:r>
              <w:rPr>
                <w:rFonts w:ascii="Arial" w:hAnsi="Arial" w:cs="Arial"/>
              </w:rPr>
              <w:t xml:space="preserve">Complete template and submit to </w:t>
            </w:r>
            <w:r w:rsidRPr="008E5CEE">
              <w:rPr>
                <w:rFonts w:ascii="Arial" w:hAnsi="Arial" w:cs="Arial"/>
              </w:rPr>
              <w:t>SDEPescalations@recmanager.co.uk</w:t>
            </w:r>
          </w:p>
        </w:tc>
        <w:tc>
          <w:tcPr>
            <w:tcW w:w="2631" w:type="dxa"/>
          </w:tcPr>
          <w:p w14:paraId="3C8B272A" w14:textId="1B30804D" w:rsidR="003A348E" w:rsidRDefault="003A348E" w:rsidP="00E27B9A">
            <w:pPr>
              <w:pStyle w:val="NoSpacing"/>
              <w:spacing w:line="276" w:lineRule="auto"/>
              <w:jc w:val="left"/>
              <w:rPr>
                <w:rFonts w:ascii="Arial" w:hAnsi="Arial" w:cs="Arial"/>
              </w:rPr>
            </w:pPr>
            <w:r>
              <w:rPr>
                <w:rFonts w:ascii="Arial" w:hAnsi="Arial" w:cs="Arial"/>
              </w:rPr>
              <w:t xml:space="preserve">Code Manager will review and support </w:t>
            </w:r>
            <w:commentRangeStart w:id="2"/>
            <w:r>
              <w:rPr>
                <w:rFonts w:ascii="Arial" w:hAnsi="Arial" w:cs="Arial"/>
              </w:rPr>
              <w:t>through the appropriate channel</w:t>
            </w:r>
            <w:commentRangeEnd w:id="2"/>
            <w:r w:rsidR="00465190">
              <w:rPr>
                <w:rStyle w:val="CommentReference"/>
                <w:rFonts w:ascii="Arial" w:hAnsi="Arial" w:cs="Arial"/>
                <w:sz w:val="22"/>
                <w:szCs w:val="22"/>
              </w:rPr>
              <w:commentReference w:id="2"/>
            </w:r>
          </w:p>
        </w:tc>
      </w:tr>
      <w:tr w:rsidR="003A348E" w14:paraId="6B3C5ED9" w14:textId="77777777" w:rsidTr="00043529">
        <w:trPr>
          <w:cnfStyle w:val="000000010000" w:firstRow="0" w:lastRow="0" w:firstColumn="0" w:lastColumn="0" w:oddVBand="0" w:evenVBand="0" w:oddHBand="0" w:evenHBand="1" w:firstRowFirstColumn="0" w:firstRowLastColumn="0" w:lastRowFirstColumn="0" w:lastRowLastColumn="0"/>
        </w:trPr>
        <w:tc>
          <w:tcPr>
            <w:tcW w:w="1323" w:type="dxa"/>
          </w:tcPr>
          <w:p w14:paraId="59DB3BF2" w14:textId="5B2CAE11" w:rsidR="003A348E" w:rsidRDefault="003A348E" w:rsidP="0084119D">
            <w:pPr>
              <w:pStyle w:val="NoSpacing"/>
              <w:spacing w:line="276" w:lineRule="auto"/>
              <w:jc w:val="left"/>
              <w:rPr>
                <w:rFonts w:ascii="Arial" w:hAnsi="Arial" w:cs="Arial"/>
              </w:rPr>
            </w:pPr>
            <w:r>
              <w:rPr>
                <w:rFonts w:ascii="Arial" w:hAnsi="Arial" w:cs="Arial"/>
              </w:rPr>
              <w:t>REC Performance Assurance Board</w:t>
            </w:r>
          </w:p>
        </w:tc>
        <w:tc>
          <w:tcPr>
            <w:tcW w:w="1845" w:type="dxa"/>
          </w:tcPr>
          <w:p w14:paraId="6D9AAAF4" w14:textId="3ECE8B61" w:rsidR="003A348E" w:rsidRDefault="007E546B" w:rsidP="00F814EC">
            <w:pPr>
              <w:pStyle w:val="NoSpacing"/>
              <w:spacing w:line="276" w:lineRule="auto"/>
              <w:jc w:val="left"/>
              <w:rPr>
                <w:rFonts w:ascii="Arial" w:hAnsi="Arial" w:cs="Arial"/>
              </w:rPr>
            </w:pPr>
            <w:r>
              <w:rPr>
                <w:rFonts w:ascii="Arial" w:hAnsi="Arial" w:cs="Arial"/>
              </w:rPr>
              <w:t>As required</w:t>
            </w:r>
          </w:p>
        </w:tc>
        <w:tc>
          <w:tcPr>
            <w:tcW w:w="3694" w:type="dxa"/>
          </w:tcPr>
          <w:p w14:paraId="4A979140" w14:textId="4B8CEFFE" w:rsidR="003A348E" w:rsidRDefault="007E546B" w:rsidP="0084119D">
            <w:pPr>
              <w:pStyle w:val="NoSpacing"/>
              <w:spacing w:line="276" w:lineRule="auto"/>
              <w:jc w:val="left"/>
              <w:rPr>
                <w:rFonts w:ascii="Arial" w:hAnsi="Arial" w:cs="Arial"/>
              </w:rPr>
            </w:pPr>
            <w:r>
              <w:rPr>
                <w:rFonts w:ascii="Arial" w:hAnsi="Arial" w:cs="Arial"/>
              </w:rPr>
              <w:t>Contract Manager presents to REC PAB</w:t>
            </w:r>
          </w:p>
        </w:tc>
        <w:tc>
          <w:tcPr>
            <w:tcW w:w="2631" w:type="dxa"/>
          </w:tcPr>
          <w:p w14:paraId="33AC1207" w14:textId="6703D7DA" w:rsidR="003A348E" w:rsidRDefault="00610F3A" w:rsidP="0084119D">
            <w:pPr>
              <w:pStyle w:val="NoSpacing"/>
              <w:spacing w:line="276" w:lineRule="auto"/>
              <w:jc w:val="left"/>
              <w:rPr>
                <w:rFonts w:ascii="Arial" w:hAnsi="Arial" w:cs="Arial"/>
              </w:rPr>
            </w:pPr>
            <w:commentRangeStart w:id="3"/>
            <w:r>
              <w:rPr>
                <w:rFonts w:ascii="Arial" w:hAnsi="Arial" w:cs="Arial"/>
              </w:rPr>
              <w:t xml:space="preserve">If </w:t>
            </w:r>
            <w:r w:rsidR="00491A11">
              <w:rPr>
                <w:rFonts w:ascii="Arial" w:hAnsi="Arial" w:cs="Arial"/>
              </w:rPr>
              <w:t xml:space="preserve">the levels of </w:t>
            </w:r>
            <w:r>
              <w:rPr>
                <w:rFonts w:ascii="Arial" w:hAnsi="Arial" w:cs="Arial"/>
              </w:rPr>
              <w:t>detriment require this</w:t>
            </w:r>
            <w:r w:rsidR="00491A11">
              <w:rPr>
                <w:rFonts w:ascii="Arial" w:hAnsi="Arial" w:cs="Arial"/>
              </w:rPr>
              <w:t xml:space="preserve">, </w:t>
            </w:r>
            <w:commentRangeEnd w:id="3"/>
            <w:r w:rsidR="00450C80">
              <w:rPr>
                <w:rStyle w:val="CommentReference"/>
                <w:rFonts w:ascii="Arial" w:hAnsi="Arial" w:cs="Arial"/>
                <w:sz w:val="22"/>
                <w:szCs w:val="22"/>
              </w:rPr>
              <w:commentReference w:id="3"/>
            </w:r>
            <w:r>
              <w:rPr>
                <w:rFonts w:ascii="Arial" w:hAnsi="Arial" w:cs="Arial"/>
              </w:rPr>
              <w:t>it will be taken to REC PAB for review</w:t>
            </w:r>
          </w:p>
        </w:tc>
      </w:tr>
    </w:tbl>
    <w:p w14:paraId="291379DC" w14:textId="77777777" w:rsidR="004E6D2F" w:rsidRDefault="004E6D2F" w:rsidP="002C40ED">
      <w:pPr>
        <w:pStyle w:val="NoSpacing"/>
        <w:spacing w:line="276" w:lineRule="auto"/>
        <w:rPr>
          <w:rFonts w:ascii="Arial" w:hAnsi="Arial" w:cs="Arial"/>
        </w:rPr>
      </w:pPr>
    </w:p>
    <w:p w14:paraId="2F17A077" w14:textId="197CC101" w:rsidR="00EA5DA2" w:rsidRPr="00C808F7" w:rsidRDefault="004E6D2F" w:rsidP="002C40ED">
      <w:pPr>
        <w:pStyle w:val="NoSpacing"/>
        <w:spacing w:line="276" w:lineRule="auto"/>
        <w:rPr>
          <w:rFonts w:ascii="Arial" w:hAnsi="Arial" w:cs="Arial"/>
        </w:rPr>
      </w:pPr>
      <w:r>
        <w:rPr>
          <w:rFonts w:ascii="Arial" w:hAnsi="Arial" w:cs="Arial"/>
        </w:rPr>
        <w:t xml:space="preserve">If you require support </w:t>
      </w:r>
      <w:r w:rsidR="00BD4480">
        <w:rPr>
          <w:rFonts w:ascii="Arial" w:hAnsi="Arial" w:cs="Arial"/>
        </w:rPr>
        <w:t>at any stage</w:t>
      </w:r>
      <w:r w:rsidR="003A4CCD">
        <w:rPr>
          <w:rFonts w:ascii="Arial" w:hAnsi="Arial" w:cs="Arial"/>
        </w:rPr>
        <w:t>,</w:t>
      </w:r>
      <w:r w:rsidR="00BD4480">
        <w:rPr>
          <w:rFonts w:ascii="Arial" w:hAnsi="Arial" w:cs="Arial"/>
        </w:rPr>
        <w:t xml:space="preserve"> </w:t>
      </w:r>
      <w:r w:rsidR="003D2242">
        <w:rPr>
          <w:rFonts w:ascii="Arial" w:hAnsi="Arial" w:cs="Arial"/>
        </w:rPr>
        <w:t>please</w:t>
      </w:r>
      <w:r w:rsidR="00BD4480">
        <w:rPr>
          <w:rFonts w:ascii="Arial" w:hAnsi="Arial" w:cs="Arial"/>
        </w:rPr>
        <w:t xml:space="preserve"> contact the </w:t>
      </w:r>
      <w:hyperlink r:id="rId55" w:history="1">
        <w:r w:rsidR="00BD4480" w:rsidRPr="003D2242">
          <w:rPr>
            <w:rStyle w:val="Hyperlink"/>
            <w:rFonts w:ascii="Arial" w:hAnsi="Arial" w:cs="Arial"/>
          </w:rPr>
          <w:t>REC Service Desk</w:t>
        </w:r>
      </w:hyperlink>
      <w:r w:rsidR="0026234F">
        <w:rPr>
          <w:rFonts w:ascii="Arial" w:hAnsi="Arial" w:cs="Arial"/>
        </w:rPr>
        <w:t>.</w:t>
      </w:r>
      <w:r w:rsidR="00EA5DA2" w:rsidRPr="00C808F7">
        <w:rPr>
          <w:rFonts w:ascii="Arial" w:hAnsi="Arial" w:cs="Arial"/>
        </w:rPr>
        <w:br w:type="page"/>
      </w:r>
    </w:p>
    <w:p w14:paraId="311B9935" w14:textId="77777777" w:rsidR="00A649F2" w:rsidRPr="00C808F7" w:rsidRDefault="00A649F2" w:rsidP="00C808F7">
      <w:pPr>
        <w:pStyle w:val="NoSpacing"/>
        <w:spacing w:line="276" w:lineRule="auto"/>
        <w:rPr>
          <w:rFonts w:ascii="Arial" w:hAnsi="Arial" w:cs="Arial"/>
        </w:rPr>
        <w:sectPr w:rsidR="00A649F2" w:rsidRPr="00C808F7" w:rsidSect="00A649F2">
          <w:headerReference w:type="default" r:id="rId56"/>
          <w:footerReference w:type="default" r:id="rId57"/>
          <w:footerReference w:type="first" r:id="rId58"/>
          <w:type w:val="continuous"/>
          <w:pgSz w:w="11906" w:h="16838"/>
          <w:pgMar w:top="1440" w:right="1440" w:bottom="1440" w:left="1440" w:header="709" w:footer="709" w:gutter="0"/>
          <w:pgNumType w:start="1"/>
          <w:cols w:space="708"/>
          <w:titlePg/>
          <w:docGrid w:linePitch="360"/>
        </w:sectPr>
      </w:pPr>
    </w:p>
    <w:p w14:paraId="43549ABF" w14:textId="21B3AB87" w:rsidR="00355AEE" w:rsidRDefault="005D7EAA" w:rsidP="00355AEE">
      <w:pPr>
        <w:pStyle w:val="Heading1"/>
        <w:numPr>
          <w:ilvl w:val="0"/>
          <w:numId w:val="17"/>
        </w:numPr>
      </w:pPr>
      <w:bookmarkStart w:id="4" w:name="_Toc215664530"/>
      <w:r>
        <w:t>Appendix</w:t>
      </w:r>
      <w:r w:rsidR="00355AEE">
        <w:t xml:space="preserve"> </w:t>
      </w:r>
      <w:r w:rsidR="007667F7">
        <w:t>1</w:t>
      </w:r>
      <w:r w:rsidR="00355AEE">
        <w:t xml:space="preserve"> – Useful </w:t>
      </w:r>
      <w:r w:rsidR="00BC2D31">
        <w:t>Te</w:t>
      </w:r>
      <w:r w:rsidR="00355AEE">
        <w:t>rms</w:t>
      </w:r>
      <w:bookmarkEnd w:id="4"/>
    </w:p>
    <w:p w14:paraId="105C6C50" w14:textId="3971D127" w:rsidR="007C1FF7" w:rsidRDefault="007C1FF7" w:rsidP="007C1FF7">
      <w:r>
        <w:t>Populated using the definitions as set out in</w:t>
      </w:r>
      <w:r w:rsidR="00A275ED">
        <w:t xml:space="preserve"> the REC</w:t>
      </w:r>
      <w:r>
        <w:t xml:space="preserve"> Schedule 1 </w:t>
      </w:r>
      <w:r w:rsidR="00695AA9">
        <w:t>or the Supply Standard Licence Conditions</w:t>
      </w:r>
      <w:r w:rsidR="001D28A8">
        <w:t xml:space="preserve">. Where </w:t>
      </w:r>
      <w:r w:rsidR="0089295C">
        <w:t xml:space="preserve">this has </w:t>
      </w:r>
      <w:r w:rsidR="001D28A8">
        <w:t xml:space="preserve">not </w:t>
      </w:r>
      <w:r w:rsidR="0089295C">
        <w:t>been</w:t>
      </w:r>
      <w:r w:rsidR="001D28A8">
        <w:t xml:space="preserve"> possible</w:t>
      </w:r>
      <w:r w:rsidR="0089295C">
        <w:t>,</w:t>
      </w:r>
      <w:r w:rsidR="001D28A8">
        <w:t xml:space="preserve"> this has been flagged.</w:t>
      </w:r>
    </w:p>
    <w:p w14:paraId="06E6B5D8" w14:textId="77777777" w:rsidR="00E57DD1" w:rsidRPr="007C1FF7" w:rsidRDefault="00E57DD1" w:rsidP="007C1FF7"/>
    <w:tbl>
      <w:tblPr>
        <w:tblStyle w:val="TableGrid"/>
        <w:tblW w:w="9067"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48"/>
        <w:gridCol w:w="1170"/>
        <w:gridCol w:w="5649"/>
      </w:tblGrid>
      <w:tr w:rsidR="00A649F2" w:rsidRPr="00862AA0" w14:paraId="26DE8605" w14:textId="77777777" w:rsidTr="009C613C">
        <w:trPr>
          <w:cnfStyle w:val="100000000000" w:firstRow="1" w:lastRow="0" w:firstColumn="0" w:lastColumn="0" w:oddVBand="0" w:evenVBand="0" w:oddHBand="0" w:evenHBand="0" w:firstRowFirstColumn="0" w:firstRowLastColumn="0" w:lastRowFirstColumn="0" w:lastRowLastColumn="0"/>
          <w:tblHeader/>
        </w:trPr>
        <w:tc>
          <w:tcPr>
            <w:tcW w:w="2248" w:type="dxa"/>
          </w:tcPr>
          <w:p w14:paraId="167B3DBB" w14:textId="77777777" w:rsidR="00A649F2" w:rsidRPr="00862AA0" w:rsidRDefault="00A649F2">
            <w:pPr>
              <w:rPr>
                <w:bCs/>
              </w:rPr>
            </w:pPr>
            <w:r w:rsidRPr="00862AA0">
              <w:rPr>
                <w:bCs/>
              </w:rPr>
              <w:t>Term</w:t>
            </w:r>
          </w:p>
        </w:tc>
        <w:tc>
          <w:tcPr>
            <w:tcW w:w="1170" w:type="dxa"/>
          </w:tcPr>
          <w:p w14:paraId="10FBE3FC" w14:textId="77777777" w:rsidR="00A649F2" w:rsidRPr="00862AA0" w:rsidRDefault="00A649F2">
            <w:pPr>
              <w:rPr>
                <w:bCs/>
              </w:rPr>
            </w:pPr>
            <w:r w:rsidRPr="00862AA0">
              <w:rPr>
                <w:bCs/>
              </w:rPr>
              <w:t>Acronym</w:t>
            </w:r>
          </w:p>
        </w:tc>
        <w:tc>
          <w:tcPr>
            <w:tcW w:w="5649" w:type="dxa"/>
          </w:tcPr>
          <w:p w14:paraId="2A66051A" w14:textId="77777777" w:rsidR="00A649F2" w:rsidRPr="00862AA0" w:rsidRDefault="00A649F2">
            <w:pPr>
              <w:rPr>
                <w:bCs/>
              </w:rPr>
            </w:pPr>
            <w:r w:rsidRPr="00862AA0">
              <w:rPr>
                <w:bCs/>
              </w:rPr>
              <w:t>What does it mean?</w:t>
            </w:r>
          </w:p>
        </w:tc>
      </w:tr>
      <w:tr w:rsidR="00F37DBC" w:rsidRPr="00862AA0" w14:paraId="3BD4BE9B" w14:textId="77777777" w:rsidTr="009C613C">
        <w:trPr>
          <w:cnfStyle w:val="000000100000" w:firstRow="0" w:lastRow="0" w:firstColumn="0" w:lastColumn="0" w:oddVBand="0" w:evenVBand="0" w:oddHBand="1" w:evenHBand="0" w:firstRowFirstColumn="0" w:firstRowLastColumn="0" w:lastRowFirstColumn="0" w:lastRowLastColumn="0"/>
        </w:trPr>
        <w:tc>
          <w:tcPr>
            <w:tcW w:w="2248" w:type="dxa"/>
          </w:tcPr>
          <w:p w14:paraId="624212A3" w14:textId="753B0BB1" w:rsidR="00F37DBC" w:rsidRDefault="00F37DBC" w:rsidP="00F37DBC">
            <w:pPr>
              <w:jc w:val="left"/>
            </w:pPr>
            <w:r>
              <w:t>Associated Supplier</w:t>
            </w:r>
          </w:p>
        </w:tc>
        <w:tc>
          <w:tcPr>
            <w:tcW w:w="1170" w:type="dxa"/>
          </w:tcPr>
          <w:p w14:paraId="1BD1F4DF" w14:textId="77777777" w:rsidR="00F37DBC" w:rsidRPr="00862AA0" w:rsidRDefault="00F37DBC" w:rsidP="00E57DD1"/>
        </w:tc>
        <w:tc>
          <w:tcPr>
            <w:tcW w:w="5649" w:type="dxa"/>
          </w:tcPr>
          <w:p w14:paraId="60ABD9F0" w14:textId="4377C83D" w:rsidR="00F37DBC" w:rsidRPr="00A35AC9" w:rsidRDefault="00D500B4" w:rsidP="00F37DBC">
            <w:pPr>
              <w:jc w:val="left"/>
            </w:pPr>
            <w:r w:rsidRPr="00D500B4">
              <w:t>means, in respect of a problem under the Resolution of Consumer-Facing Switching and Billing Issues Schedule, each of the Energy Suppliers to which the Initiating Supplier sent an Initial Request.</w:t>
            </w:r>
          </w:p>
        </w:tc>
      </w:tr>
      <w:tr w:rsidR="00C22025" w:rsidRPr="00862AA0" w14:paraId="5CA3D2B6" w14:textId="77777777" w:rsidTr="009C613C">
        <w:trPr>
          <w:cnfStyle w:val="000000010000" w:firstRow="0" w:lastRow="0" w:firstColumn="0" w:lastColumn="0" w:oddVBand="0" w:evenVBand="0" w:oddHBand="0" w:evenHBand="1" w:firstRowFirstColumn="0" w:firstRowLastColumn="0" w:lastRowFirstColumn="0" w:lastRowLastColumn="0"/>
        </w:trPr>
        <w:tc>
          <w:tcPr>
            <w:tcW w:w="2248" w:type="dxa"/>
          </w:tcPr>
          <w:p w14:paraId="38ACDAA5" w14:textId="6327DD07" w:rsidR="00C22025" w:rsidRDefault="00C22025" w:rsidP="00C22025">
            <w:pPr>
              <w:jc w:val="left"/>
            </w:pPr>
            <w:r>
              <w:t>Change of Occupier</w:t>
            </w:r>
          </w:p>
        </w:tc>
        <w:tc>
          <w:tcPr>
            <w:tcW w:w="1170" w:type="dxa"/>
          </w:tcPr>
          <w:p w14:paraId="5A4CBDB0" w14:textId="1DB3FA26" w:rsidR="00C22025" w:rsidRPr="00862AA0" w:rsidRDefault="00C22025" w:rsidP="002C6113">
            <w:proofErr w:type="spellStart"/>
            <w:r>
              <w:t>CoO</w:t>
            </w:r>
            <w:proofErr w:type="spellEnd"/>
          </w:p>
        </w:tc>
        <w:tc>
          <w:tcPr>
            <w:tcW w:w="5649" w:type="dxa"/>
          </w:tcPr>
          <w:p w14:paraId="4D15E94B" w14:textId="26EA7213" w:rsidR="00C22025" w:rsidRPr="00A35AC9" w:rsidRDefault="00C5224F" w:rsidP="00C5224F">
            <w:pPr>
              <w:jc w:val="left"/>
            </w:pPr>
            <w:r>
              <w:t>means that the Consumer at a Premises has changed (or is due to change).</w:t>
            </w:r>
          </w:p>
        </w:tc>
      </w:tr>
      <w:tr w:rsidR="00A649F2" w:rsidRPr="00862AA0" w14:paraId="61A237BE" w14:textId="77777777" w:rsidTr="009C613C">
        <w:trPr>
          <w:cnfStyle w:val="000000100000" w:firstRow="0" w:lastRow="0" w:firstColumn="0" w:lastColumn="0" w:oddVBand="0" w:evenVBand="0" w:oddHBand="1" w:evenHBand="0" w:firstRowFirstColumn="0" w:firstRowLastColumn="0" w:lastRowFirstColumn="0" w:lastRowLastColumn="0"/>
        </w:trPr>
        <w:tc>
          <w:tcPr>
            <w:tcW w:w="2248" w:type="dxa"/>
          </w:tcPr>
          <w:p w14:paraId="41C843E9" w14:textId="77777777" w:rsidR="00A649F2" w:rsidRPr="00862AA0" w:rsidRDefault="00A649F2">
            <w:pPr>
              <w:jc w:val="left"/>
            </w:pPr>
            <w:r>
              <w:t>Data Item</w:t>
            </w:r>
          </w:p>
        </w:tc>
        <w:tc>
          <w:tcPr>
            <w:tcW w:w="1170" w:type="dxa"/>
          </w:tcPr>
          <w:p w14:paraId="3AE2102C" w14:textId="77777777" w:rsidR="00A649F2" w:rsidRPr="00862AA0" w:rsidRDefault="00A649F2"/>
        </w:tc>
        <w:tc>
          <w:tcPr>
            <w:tcW w:w="5649" w:type="dxa"/>
          </w:tcPr>
          <w:p w14:paraId="0D932940" w14:textId="77777777" w:rsidR="00A649F2" w:rsidRPr="00862AA0" w:rsidRDefault="00A649F2">
            <w:pPr>
              <w:jc w:val="left"/>
            </w:pPr>
            <w:r w:rsidRPr="00A35AC9">
              <w:t>means the most granular level of data defining a specific attribute in respect of a data type, the permissible values for which are defined and controlled in the Data Item Catalogue.</w:t>
            </w:r>
          </w:p>
        </w:tc>
      </w:tr>
      <w:tr w:rsidR="00FA6164" w:rsidRPr="00862AA0" w14:paraId="5C96FFE9" w14:textId="77777777" w:rsidTr="009C613C">
        <w:trPr>
          <w:cnfStyle w:val="000000010000" w:firstRow="0" w:lastRow="0" w:firstColumn="0" w:lastColumn="0" w:oddVBand="0" w:evenVBand="0" w:oddHBand="0" w:evenHBand="1" w:firstRowFirstColumn="0" w:firstRowLastColumn="0" w:lastRowFirstColumn="0" w:lastRowLastColumn="0"/>
        </w:trPr>
        <w:tc>
          <w:tcPr>
            <w:tcW w:w="2248" w:type="dxa"/>
          </w:tcPr>
          <w:p w14:paraId="13DD790C" w14:textId="79E0C2E9" w:rsidR="00FA6164" w:rsidRDefault="00FA6164" w:rsidP="00FA6164">
            <w:pPr>
              <w:jc w:val="left"/>
            </w:pPr>
            <w:r>
              <w:t>Domestic Premise Indicator</w:t>
            </w:r>
          </w:p>
        </w:tc>
        <w:tc>
          <w:tcPr>
            <w:tcW w:w="1170" w:type="dxa"/>
          </w:tcPr>
          <w:p w14:paraId="32797583" w14:textId="3878817F" w:rsidR="00FA6164" w:rsidRPr="00862AA0" w:rsidRDefault="00FA6164">
            <w:r>
              <w:t>DPI</w:t>
            </w:r>
          </w:p>
        </w:tc>
        <w:tc>
          <w:tcPr>
            <w:tcW w:w="5649" w:type="dxa"/>
          </w:tcPr>
          <w:p w14:paraId="789DE63F" w14:textId="689F1825" w:rsidR="00FA6164" w:rsidRPr="00A35AC9" w:rsidRDefault="0062140F" w:rsidP="0062140F">
            <w:pPr>
              <w:jc w:val="left"/>
            </w:pPr>
            <w:r>
              <w:t>means the indicator used to identify a Domestic Premises.</w:t>
            </w:r>
          </w:p>
        </w:tc>
      </w:tr>
      <w:tr w:rsidR="00A75197" w:rsidRPr="00862AA0" w14:paraId="4A43B32F" w14:textId="77777777" w:rsidTr="009C613C">
        <w:trPr>
          <w:cnfStyle w:val="000000100000" w:firstRow="0" w:lastRow="0" w:firstColumn="0" w:lastColumn="0" w:oddVBand="0" w:evenVBand="0" w:oddHBand="1" w:evenHBand="0" w:firstRowFirstColumn="0" w:firstRowLastColumn="0" w:lastRowFirstColumn="0" w:lastRowLastColumn="0"/>
        </w:trPr>
        <w:tc>
          <w:tcPr>
            <w:tcW w:w="2248" w:type="dxa"/>
          </w:tcPr>
          <w:p w14:paraId="39B46583" w14:textId="20DACD33" w:rsidR="00A75197" w:rsidRDefault="00A75197" w:rsidP="00A75197">
            <w:pPr>
              <w:jc w:val="left"/>
            </w:pPr>
            <w:r>
              <w:t>Domestic Premises</w:t>
            </w:r>
          </w:p>
        </w:tc>
        <w:tc>
          <w:tcPr>
            <w:tcW w:w="1170" w:type="dxa"/>
          </w:tcPr>
          <w:p w14:paraId="58A73352" w14:textId="77777777" w:rsidR="00A75197" w:rsidRDefault="00A75197" w:rsidP="00E57DD1"/>
        </w:tc>
        <w:tc>
          <w:tcPr>
            <w:tcW w:w="5649" w:type="dxa"/>
          </w:tcPr>
          <w:p w14:paraId="2168BDBD" w14:textId="629258AC" w:rsidR="00A75197" w:rsidRPr="00A35AC9" w:rsidRDefault="00A0675D" w:rsidP="00A75197">
            <w:pPr>
              <w:jc w:val="left"/>
            </w:pPr>
            <w:r w:rsidRPr="00A0675D">
              <w:t>has the meaning given in and is to be interpreted in accordance with standard condition 6 (Classification of premises)</w:t>
            </w:r>
          </w:p>
        </w:tc>
      </w:tr>
      <w:tr w:rsidR="00FB28F1" w:rsidRPr="00862AA0" w14:paraId="5D84D977" w14:textId="77777777" w:rsidTr="009C613C">
        <w:trPr>
          <w:cnfStyle w:val="000000010000" w:firstRow="0" w:lastRow="0" w:firstColumn="0" w:lastColumn="0" w:oddVBand="0" w:evenVBand="0" w:oddHBand="0" w:evenHBand="1" w:firstRowFirstColumn="0" w:firstRowLastColumn="0" w:lastRowFirstColumn="0" w:lastRowLastColumn="0"/>
        </w:trPr>
        <w:tc>
          <w:tcPr>
            <w:tcW w:w="2248" w:type="dxa"/>
          </w:tcPr>
          <w:p w14:paraId="67565F7C" w14:textId="13A274AE" w:rsidR="00FB28F1" w:rsidRDefault="00FB28F1" w:rsidP="00FA6164">
            <w:pPr>
              <w:jc w:val="left"/>
            </w:pPr>
            <w:r>
              <w:t>Electricity Enquiry Service</w:t>
            </w:r>
          </w:p>
        </w:tc>
        <w:tc>
          <w:tcPr>
            <w:tcW w:w="1170" w:type="dxa"/>
          </w:tcPr>
          <w:p w14:paraId="779A13E6" w14:textId="1177BC6F" w:rsidR="00FB28F1" w:rsidRPr="00862AA0" w:rsidRDefault="00FB28F1">
            <w:r>
              <w:t>EES</w:t>
            </w:r>
          </w:p>
        </w:tc>
        <w:tc>
          <w:tcPr>
            <w:tcW w:w="5649" w:type="dxa"/>
          </w:tcPr>
          <w:p w14:paraId="2DA97A48" w14:textId="77777777" w:rsidR="002C6113" w:rsidRDefault="009C3E18" w:rsidP="002C6113">
            <w:pPr>
              <w:jc w:val="left"/>
            </w:pPr>
            <w:r>
              <w:t>means the service described as such in the EES Service Definition</w:t>
            </w:r>
            <w:r w:rsidR="002C6113">
              <w:t xml:space="preserve">. </w:t>
            </w:r>
          </w:p>
          <w:p w14:paraId="6CFA686C" w14:textId="664CDC3A" w:rsidR="00FB28F1" w:rsidRPr="00A35AC9" w:rsidRDefault="002C6113" w:rsidP="002C6113">
            <w:pPr>
              <w:jc w:val="left"/>
            </w:pPr>
            <w:r>
              <w:t xml:space="preserve">Provided via </w:t>
            </w:r>
            <w:hyperlink r:id="rId59" w:history="1">
              <w:r w:rsidRPr="0051689A">
                <w:rPr>
                  <w:rStyle w:val="Hyperlink"/>
                </w:rPr>
                <w:t>https://www.ecoes.co.uk/</w:t>
              </w:r>
            </w:hyperlink>
            <w:r>
              <w:t xml:space="preserve"> </w:t>
            </w:r>
          </w:p>
        </w:tc>
      </w:tr>
      <w:tr w:rsidR="00A649F2" w:rsidRPr="00862AA0" w14:paraId="206B2009" w14:textId="77777777" w:rsidTr="009C613C">
        <w:trPr>
          <w:cnfStyle w:val="000000100000" w:firstRow="0" w:lastRow="0" w:firstColumn="0" w:lastColumn="0" w:oddVBand="0" w:evenVBand="0" w:oddHBand="1" w:evenHBand="0" w:firstRowFirstColumn="0" w:firstRowLastColumn="0" w:lastRowFirstColumn="0" w:lastRowLastColumn="0"/>
        </w:trPr>
        <w:tc>
          <w:tcPr>
            <w:tcW w:w="2248" w:type="dxa"/>
          </w:tcPr>
          <w:p w14:paraId="27415668" w14:textId="77777777" w:rsidR="00A649F2" w:rsidRDefault="00A649F2">
            <w:pPr>
              <w:jc w:val="left"/>
            </w:pPr>
            <w:r>
              <w:t xml:space="preserve">Erroneous Switch </w:t>
            </w:r>
          </w:p>
        </w:tc>
        <w:tc>
          <w:tcPr>
            <w:tcW w:w="1170" w:type="dxa"/>
          </w:tcPr>
          <w:p w14:paraId="109C9A38" w14:textId="77777777" w:rsidR="00A649F2" w:rsidRDefault="00A649F2">
            <w:r>
              <w:t>ES</w:t>
            </w:r>
          </w:p>
        </w:tc>
        <w:tc>
          <w:tcPr>
            <w:tcW w:w="5649" w:type="dxa"/>
          </w:tcPr>
          <w:p w14:paraId="62D4FFED" w14:textId="77777777" w:rsidR="00A649F2" w:rsidRPr="003B3FAE" w:rsidRDefault="00A649F2">
            <w:pPr>
              <w:jc w:val="left"/>
            </w:pPr>
            <w:r w:rsidRPr="00F35A0F">
              <w:t>means where a Consumer has been switched to an Energy Supplier which does not have an Energy Contract in place, as further described in the Resolution of Consumer-Facing Switching and Billing Problems Schedule.</w:t>
            </w:r>
          </w:p>
        </w:tc>
      </w:tr>
      <w:tr w:rsidR="00A649F2" w:rsidRPr="00862AA0" w14:paraId="79CDC4D7" w14:textId="77777777" w:rsidTr="009C613C">
        <w:trPr>
          <w:cnfStyle w:val="000000010000" w:firstRow="0" w:lastRow="0" w:firstColumn="0" w:lastColumn="0" w:oddVBand="0" w:evenVBand="0" w:oddHBand="0" w:evenHBand="1" w:firstRowFirstColumn="0" w:firstRowLastColumn="0" w:lastRowFirstColumn="0" w:lastRowLastColumn="0"/>
        </w:trPr>
        <w:tc>
          <w:tcPr>
            <w:tcW w:w="2248" w:type="dxa"/>
          </w:tcPr>
          <w:p w14:paraId="48B8B330" w14:textId="77777777" w:rsidR="00A649F2" w:rsidRPr="00862AA0" w:rsidRDefault="00A649F2">
            <w:pPr>
              <w:jc w:val="left"/>
            </w:pPr>
            <w:r>
              <w:t>Gaining Supplier</w:t>
            </w:r>
          </w:p>
        </w:tc>
        <w:tc>
          <w:tcPr>
            <w:tcW w:w="1170" w:type="dxa"/>
          </w:tcPr>
          <w:p w14:paraId="70BF21EF" w14:textId="77777777" w:rsidR="00A649F2" w:rsidRPr="00862AA0" w:rsidRDefault="00A649F2"/>
        </w:tc>
        <w:tc>
          <w:tcPr>
            <w:tcW w:w="5649" w:type="dxa"/>
          </w:tcPr>
          <w:p w14:paraId="6F85C46F" w14:textId="77777777" w:rsidR="00A649F2" w:rsidRPr="00862AA0" w:rsidRDefault="00A649F2">
            <w:pPr>
              <w:jc w:val="left"/>
            </w:pPr>
            <w:r w:rsidRPr="008E3050">
              <w:t xml:space="preserve">means, in relation to a proposed Switch (or Switch), the Energy Supplier which is proposing to become the Registered Supplier at an RMP </w:t>
            </w:r>
            <w:proofErr w:type="gramStart"/>
            <w:r w:rsidRPr="008E3050">
              <w:t>as a result of</w:t>
            </w:r>
            <w:proofErr w:type="gramEnd"/>
            <w:r w:rsidRPr="008E3050">
              <w:t xml:space="preserve"> that proposed Switch (or which has become the Registered Supplier </w:t>
            </w:r>
            <w:proofErr w:type="gramStart"/>
            <w:r w:rsidRPr="008E3050">
              <w:t>as a result of</w:t>
            </w:r>
            <w:proofErr w:type="gramEnd"/>
            <w:r w:rsidRPr="008E3050">
              <w:t xml:space="preserve"> that Switch).</w:t>
            </w:r>
          </w:p>
        </w:tc>
      </w:tr>
      <w:tr w:rsidR="00FA6164" w:rsidRPr="00862AA0" w14:paraId="0D208554" w14:textId="77777777" w:rsidTr="009C613C">
        <w:trPr>
          <w:cnfStyle w:val="000000100000" w:firstRow="0" w:lastRow="0" w:firstColumn="0" w:lastColumn="0" w:oddVBand="0" w:evenVBand="0" w:oddHBand="1" w:evenHBand="0" w:firstRowFirstColumn="0" w:firstRowLastColumn="0" w:lastRowFirstColumn="0" w:lastRowLastColumn="0"/>
        </w:trPr>
        <w:tc>
          <w:tcPr>
            <w:tcW w:w="2248" w:type="dxa"/>
          </w:tcPr>
          <w:p w14:paraId="7F91293E" w14:textId="262E43E5" w:rsidR="00FA6164" w:rsidRDefault="00FA6164" w:rsidP="00FA6164">
            <w:pPr>
              <w:jc w:val="left"/>
            </w:pPr>
            <w:r>
              <w:t>Gas Enquiry Service</w:t>
            </w:r>
          </w:p>
        </w:tc>
        <w:tc>
          <w:tcPr>
            <w:tcW w:w="1170" w:type="dxa"/>
          </w:tcPr>
          <w:p w14:paraId="7EE83DE2" w14:textId="5CC673AB" w:rsidR="00FA6164" w:rsidRPr="00862AA0" w:rsidRDefault="00FA6164">
            <w:r>
              <w:t>GES</w:t>
            </w:r>
          </w:p>
        </w:tc>
        <w:tc>
          <w:tcPr>
            <w:tcW w:w="5649" w:type="dxa"/>
          </w:tcPr>
          <w:p w14:paraId="7A5531D0" w14:textId="77777777" w:rsidR="00FA6164" w:rsidRDefault="006971D3" w:rsidP="002C6113">
            <w:pPr>
              <w:jc w:val="left"/>
            </w:pPr>
            <w:r w:rsidRPr="006971D3">
              <w:t>means: (a) until CSS Go-Live Date, the enquiry</w:t>
            </w:r>
            <w:r>
              <w:t xml:space="preserve"> </w:t>
            </w:r>
            <w:r w:rsidR="00E02161" w:rsidRPr="00E02161">
              <w:t>service provided pursuant to the UNC which allows authorised users to access Gas Retail Data; and (b) from CSS Go-Live Date, the service of that name procured by RECCo pursuant to the Data Access Schedule</w:t>
            </w:r>
            <w:r w:rsidR="00E02161">
              <w:t>.</w:t>
            </w:r>
          </w:p>
          <w:p w14:paraId="2E9B0BCD" w14:textId="1989221F" w:rsidR="00E02161" w:rsidRPr="008E3050" w:rsidRDefault="00371CD3" w:rsidP="002C6113">
            <w:pPr>
              <w:jc w:val="left"/>
            </w:pPr>
            <w:r>
              <w:t xml:space="preserve">Provided via  </w:t>
            </w:r>
            <w:hyperlink r:id="rId60" w:history="1">
              <w:r w:rsidR="00400EF9" w:rsidRPr="0051689A">
                <w:rPr>
                  <w:rStyle w:val="Hyperlink"/>
                </w:rPr>
                <w:t>https://www.xoserve.com/products-services/data-products/gas-enquiry-service-ges/</w:t>
              </w:r>
            </w:hyperlink>
            <w:r w:rsidR="00400EF9">
              <w:t xml:space="preserve"> </w:t>
            </w:r>
          </w:p>
        </w:tc>
      </w:tr>
      <w:tr w:rsidR="006A3273" w:rsidRPr="00862AA0" w14:paraId="23CC0637" w14:textId="77777777" w:rsidTr="009C613C">
        <w:trPr>
          <w:cnfStyle w:val="000000010000" w:firstRow="0" w:lastRow="0" w:firstColumn="0" w:lastColumn="0" w:oddVBand="0" w:evenVBand="0" w:oddHBand="0" w:evenHBand="1" w:firstRowFirstColumn="0" w:firstRowLastColumn="0" w:lastRowFirstColumn="0" w:lastRowLastColumn="0"/>
        </w:trPr>
        <w:tc>
          <w:tcPr>
            <w:tcW w:w="2248" w:type="dxa"/>
          </w:tcPr>
          <w:p w14:paraId="2F9600D4" w14:textId="1F94D0CD" w:rsidR="006A3273" w:rsidRDefault="006A3273" w:rsidP="006A3273">
            <w:pPr>
              <w:jc w:val="left"/>
            </w:pPr>
            <w:r w:rsidRPr="006A3273">
              <w:t>Initial Request</w:t>
            </w:r>
          </w:p>
        </w:tc>
        <w:tc>
          <w:tcPr>
            <w:tcW w:w="1170" w:type="dxa"/>
          </w:tcPr>
          <w:p w14:paraId="28AA806F" w14:textId="77777777" w:rsidR="006A3273" w:rsidRPr="00862AA0" w:rsidRDefault="006A3273" w:rsidP="00E57DD1"/>
        </w:tc>
        <w:tc>
          <w:tcPr>
            <w:tcW w:w="5649" w:type="dxa"/>
          </w:tcPr>
          <w:p w14:paraId="300DFDBD" w14:textId="4ACC5F81" w:rsidR="006A3273" w:rsidRPr="006A3273" w:rsidRDefault="00AF41AF" w:rsidP="006A3273">
            <w:pPr>
              <w:jc w:val="left"/>
            </w:pPr>
            <w:r w:rsidRPr="00AF41AF">
              <w:t>means a notification from an Energy Supplier to another Energy Supplier to raise an issue which needs to be resolved in respect of one of the problems covered by the Resolution of Consumer-Facing Switching and Billing Issues Schedule.</w:t>
            </w:r>
          </w:p>
        </w:tc>
      </w:tr>
      <w:tr w:rsidR="003D1AF1" w:rsidRPr="00862AA0" w14:paraId="7817CCA6" w14:textId="77777777" w:rsidTr="009C613C">
        <w:trPr>
          <w:cnfStyle w:val="000000100000" w:firstRow="0" w:lastRow="0" w:firstColumn="0" w:lastColumn="0" w:oddVBand="0" w:evenVBand="0" w:oddHBand="1" w:evenHBand="0" w:firstRowFirstColumn="0" w:firstRowLastColumn="0" w:lastRowFirstColumn="0" w:lastRowLastColumn="0"/>
        </w:trPr>
        <w:tc>
          <w:tcPr>
            <w:tcW w:w="2248" w:type="dxa"/>
          </w:tcPr>
          <w:p w14:paraId="1561E052" w14:textId="1E629153" w:rsidR="003D1AF1" w:rsidRDefault="006A3273" w:rsidP="003D1AF1">
            <w:pPr>
              <w:jc w:val="left"/>
            </w:pPr>
            <w:r>
              <w:t>Initiating Supplier</w:t>
            </w:r>
          </w:p>
        </w:tc>
        <w:tc>
          <w:tcPr>
            <w:tcW w:w="1170" w:type="dxa"/>
          </w:tcPr>
          <w:p w14:paraId="66E7723E" w14:textId="77777777" w:rsidR="003D1AF1" w:rsidRPr="00862AA0" w:rsidRDefault="003D1AF1" w:rsidP="00E57DD1"/>
        </w:tc>
        <w:tc>
          <w:tcPr>
            <w:tcW w:w="5649" w:type="dxa"/>
          </w:tcPr>
          <w:p w14:paraId="5816A72A" w14:textId="2F2DD7C1" w:rsidR="003D1AF1" w:rsidRPr="00643532" w:rsidRDefault="006A3273" w:rsidP="003D1AF1">
            <w:pPr>
              <w:jc w:val="left"/>
            </w:pPr>
            <w:r w:rsidRPr="006A3273">
              <w:t>means the Energy Supplier which sends the Initial Request</w:t>
            </w:r>
          </w:p>
        </w:tc>
      </w:tr>
      <w:tr w:rsidR="00A649F2" w:rsidRPr="00862AA0" w14:paraId="745CF312" w14:textId="77777777" w:rsidTr="009C613C">
        <w:trPr>
          <w:cnfStyle w:val="000000010000" w:firstRow="0" w:lastRow="0" w:firstColumn="0" w:lastColumn="0" w:oddVBand="0" w:evenVBand="0" w:oddHBand="0" w:evenHBand="1" w:firstRowFirstColumn="0" w:firstRowLastColumn="0" w:lastRowFirstColumn="0" w:lastRowLastColumn="0"/>
        </w:trPr>
        <w:tc>
          <w:tcPr>
            <w:tcW w:w="2248" w:type="dxa"/>
          </w:tcPr>
          <w:p w14:paraId="6605694F" w14:textId="77777777" w:rsidR="00A649F2" w:rsidRPr="00862AA0" w:rsidRDefault="00A649F2">
            <w:pPr>
              <w:jc w:val="left"/>
            </w:pPr>
            <w:r>
              <w:t>Losing Supplier</w:t>
            </w:r>
          </w:p>
        </w:tc>
        <w:tc>
          <w:tcPr>
            <w:tcW w:w="1170" w:type="dxa"/>
          </w:tcPr>
          <w:p w14:paraId="78A5E99E" w14:textId="77777777" w:rsidR="00A649F2" w:rsidRPr="00862AA0" w:rsidRDefault="00A649F2"/>
        </w:tc>
        <w:tc>
          <w:tcPr>
            <w:tcW w:w="5649" w:type="dxa"/>
          </w:tcPr>
          <w:p w14:paraId="10003E26" w14:textId="77777777" w:rsidR="00A649F2" w:rsidRPr="00862AA0" w:rsidRDefault="00A649F2">
            <w:pPr>
              <w:jc w:val="left"/>
            </w:pPr>
            <w:r w:rsidRPr="00643532">
              <w:t xml:space="preserve">means, in relation to a proposed Switch (or Switch), the Energy Supplier which will cease to be the Registered Supplier at an RMP </w:t>
            </w:r>
            <w:proofErr w:type="gramStart"/>
            <w:r w:rsidRPr="00643532">
              <w:t>as a result of</w:t>
            </w:r>
            <w:proofErr w:type="gramEnd"/>
            <w:r w:rsidRPr="00643532">
              <w:t xml:space="preserve"> that proposed Switch (or which has ceased to be the Registered Supplier </w:t>
            </w:r>
            <w:proofErr w:type="gramStart"/>
            <w:r w:rsidRPr="00643532">
              <w:t>as a result of</w:t>
            </w:r>
            <w:proofErr w:type="gramEnd"/>
            <w:r w:rsidRPr="00643532">
              <w:t xml:space="preserve"> that Switch).</w:t>
            </w:r>
          </w:p>
        </w:tc>
      </w:tr>
      <w:tr w:rsidR="00FB28F1" w:rsidRPr="00862AA0" w14:paraId="46F2E09B" w14:textId="77777777" w:rsidTr="009C613C">
        <w:trPr>
          <w:cnfStyle w:val="000000100000" w:firstRow="0" w:lastRow="0" w:firstColumn="0" w:lastColumn="0" w:oddVBand="0" w:evenVBand="0" w:oddHBand="1" w:evenHBand="0" w:firstRowFirstColumn="0" w:firstRowLastColumn="0" w:lastRowFirstColumn="0" w:lastRowLastColumn="0"/>
        </w:trPr>
        <w:tc>
          <w:tcPr>
            <w:tcW w:w="2248" w:type="dxa"/>
          </w:tcPr>
          <w:p w14:paraId="7CC91A55" w14:textId="0ED3734E" w:rsidR="00FB28F1" w:rsidRDefault="00FB28F1" w:rsidP="00FB28F1">
            <w:pPr>
              <w:jc w:val="left"/>
            </w:pPr>
            <w:r>
              <w:t>Price Cap</w:t>
            </w:r>
          </w:p>
        </w:tc>
        <w:tc>
          <w:tcPr>
            <w:tcW w:w="1170" w:type="dxa"/>
          </w:tcPr>
          <w:p w14:paraId="4A04274A" w14:textId="77777777" w:rsidR="00FB28F1" w:rsidRPr="00862AA0" w:rsidRDefault="00FB28F1"/>
        </w:tc>
        <w:tc>
          <w:tcPr>
            <w:tcW w:w="5649" w:type="dxa"/>
          </w:tcPr>
          <w:p w14:paraId="4793CFD0" w14:textId="38D32202" w:rsidR="006B11C9" w:rsidRDefault="006B11C9" w:rsidP="007301E7">
            <w:pPr>
              <w:jc w:val="left"/>
            </w:pPr>
            <w:hyperlink r:id="rId61" w:history="1">
              <w:r w:rsidRPr="006B11C9">
                <w:rPr>
                  <w:rStyle w:val="Hyperlink"/>
                  <w:kern w:val="2"/>
                  <w14:ligatures w14:val="standardContextual"/>
                </w:rPr>
                <w:t>From Ofgem website</w:t>
              </w:r>
            </w:hyperlink>
          </w:p>
          <w:p w14:paraId="1C6417D4" w14:textId="295BF35C" w:rsidR="00FB28F1" w:rsidRPr="00643532" w:rsidRDefault="007301E7" w:rsidP="007301E7">
            <w:pPr>
              <w:jc w:val="left"/>
            </w:pPr>
            <w:r w:rsidRPr="007301E7">
              <w:t>The energy price cap is the maximum amount energy suppliers can charge you for each unit of energy and standing charge if you're on a standard variable tariff.</w:t>
            </w:r>
          </w:p>
        </w:tc>
      </w:tr>
      <w:tr w:rsidR="00DE4F72" w:rsidRPr="00862AA0" w14:paraId="2D834E92" w14:textId="77777777" w:rsidTr="009C613C">
        <w:trPr>
          <w:cnfStyle w:val="000000010000" w:firstRow="0" w:lastRow="0" w:firstColumn="0" w:lastColumn="0" w:oddVBand="0" w:evenVBand="0" w:oddHBand="0" w:evenHBand="1" w:firstRowFirstColumn="0" w:firstRowLastColumn="0" w:lastRowFirstColumn="0" w:lastRowLastColumn="0"/>
        </w:trPr>
        <w:tc>
          <w:tcPr>
            <w:tcW w:w="2248" w:type="dxa"/>
          </w:tcPr>
          <w:p w14:paraId="5F7FCB8A" w14:textId="1AC35732" w:rsidR="00DE4F72" w:rsidRDefault="00DE4F72" w:rsidP="00DE4F72">
            <w:pPr>
              <w:jc w:val="left"/>
            </w:pPr>
            <w:r>
              <w:t>Reason for Return</w:t>
            </w:r>
          </w:p>
        </w:tc>
        <w:tc>
          <w:tcPr>
            <w:tcW w:w="1170" w:type="dxa"/>
          </w:tcPr>
          <w:p w14:paraId="44B04A45" w14:textId="77777777" w:rsidR="00DE4F72" w:rsidRDefault="00DE4F72" w:rsidP="00E57DD1"/>
        </w:tc>
        <w:tc>
          <w:tcPr>
            <w:tcW w:w="5649" w:type="dxa"/>
          </w:tcPr>
          <w:p w14:paraId="3A1E0A70" w14:textId="303D7AC2" w:rsidR="00DE4F72" w:rsidRPr="00425E42" w:rsidRDefault="000D308A" w:rsidP="00DE4F72">
            <w:pPr>
              <w:jc w:val="left"/>
            </w:pPr>
            <w:r w:rsidRPr="000D308A">
              <w:t>The code which identifies the reason for initiating the Erroneous Transfer process.</w:t>
            </w:r>
            <w:r w:rsidR="00D467BD">
              <w:t xml:space="preserve"> See </w:t>
            </w:r>
            <w:hyperlink r:id="rId62" w:history="1">
              <w:r w:rsidR="00D467BD" w:rsidRPr="00D467BD">
                <w:rPr>
                  <w:rStyle w:val="Hyperlink"/>
                  <w:kern w:val="2"/>
                  <w14:ligatures w14:val="standardContextual"/>
                </w:rPr>
                <w:t>J</w:t>
              </w:r>
              <w:r w:rsidR="00D467BD" w:rsidRPr="00D467BD">
                <w:rPr>
                  <w:rStyle w:val="Hyperlink"/>
                </w:rPr>
                <w:t>1671</w:t>
              </w:r>
            </w:hyperlink>
            <w:r w:rsidR="00D467BD">
              <w:t xml:space="preserve"> and </w:t>
            </w:r>
            <w:hyperlink r:id="rId63" w:history="1">
              <w:r w:rsidR="00CC3804" w:rsidRPr="00CC3804">
                <w:rPr>
                  <w:rStyle w:val="Hyperlink"/>
                  <w:kern w:val="2"/>
                  <w14:ligatures w14:val="standardContextual"/>
                </w:rPr>
                <w:t>B0029</w:t>
              </w:r>
            </w:hyperlink>
          </w:p>
        </w:tc>
      </w:tr>
      <w:tr w:rsidR="00A649F2" w:rsidRPr="00862AA0" w14:paraId="5DBEAEA2" w14:textId="77777777" w:rsidTr="009C613C">
        <w:trPr>
          <w:cnfStyle w:val="000000100000" w:firstRow="0" w:lastRow="0" w:firstColumn="0" w:lastColumn="0" w:oddVBand="0" w:evenVBand="0" w:oddHBand="1" w:evenHBand="0" w:firstRowFirstColumn="0" w:firstRowLastColumn="0" w:lastRowFirstColumn="0" w:lastRowLastColumn="0"/>
        </w:trPr>
        <w:tc>
          <w:tcPr>
            <w:tcW w:w="2248" w:type="dxa"/>
          </w:tcPr>
          <w:p w14:paraId="2CE5ED61" w14:textId="77777777" w:rsidR="00A649F2" w:rsidRPr="00106E98" w:rsidRDefault="00A649F2">
            <w:pPr>
              <w:jc w:val="left"/>
            </w:pPr>
            <w:r>
              <w:t>Switch Request</w:t>
            </w:r>
          </w:p>
        </w:tc>
        <w:tc>
          <w:tcPr>
            <w:tcW w:w="1170" w:type="dxa"/>
          </w:tcPr>
          <w:p w14:paraId="0BD07530" w14:textId="77777777" w:rsidR="00A649F2" w:rsidRDefault="00A649F2" w:rsidP="00E57DD1"/>
        </w:tc>
        <w:tc>
          <w:tcPr>
            <w:tcW w:w="5649" w:type="dxa"/>
          </w:tcPr>
          <w:p w14:paraId="572C68D6" w14:textId="77777777" w:rsidR="00A649F2" w:rsidRPr="00106E98" w:rsidRDefault="00A649F2">
            <w:pPr>
              <w:jc w:val="left"/>
            </w:pPr>
            <w:r w:rsidRPr="00425E42">
              <w:t>means a request from a Gaining Supplier to initiate a Switch.</w:t>
            </w:r>
          </w:p>
        </w:tc>
      </w:tr>
    </w:tbl>
    <w:p w14:paraId="74D9A477" w14:textId="77777777" w:rsidR="00A649F2" w:rsidRDefault="00A649F2" w:rsidP="00A649F2"/>
    <w:p w14:paraId="75CBA655" w14:textId="563D0B8D" w:rsidR="00A649F2" w:rsidRDefault="00A649F2"/>
    <w:p w14:paraId="7EB35B85" w14:textId="77777777" w:rsidR="00A649F2" w:rsidRDefault="00A649F2" w:rsidP="00A649F2"/>
    <w:p w14:paraId="3F603719" w14:textId="77777777" w:rsidR="00A649F2" w:rsidRPr="00A649F2" w:rsidRDefault="00A649F2" w:rsidP="00A649F2"/>
    <w:p w14:paraId="058B1295" w14:textId="77777777" w:rsidR="00355AEE" w:rsidRDefault="00355AEE" w:rsidP="00355AEE">
      <w:pPr>
        <w:pStyle w:val="NoSpacing"/>
        <w:rPr>
          <w:rFonts w:ascii="Arial" w:hAnsi="Arial" w:cs="Arial"/>
        </w:rPr>
      </w:pPr>
    </w:p>
    <w:p w14:paraId="0E71B537" w14:textId="1C2E5DFB" w:rsidR="00243045" w:rsidRPr="00243045" w:rsidRDefault="00243045" w:rsidP="00243045">
      <w:pPr>
        <w:sectPr w:rsidR="00243045" w:rsidRPr="00243045" w:rsidSect="00A649F2">
          <w:type w:val="continuous"/>
          <w:pgSz w:w="11906" w:h="16838"/>
          <w:pgMar w:top="1440" w:right="1440" w:bottom="1440" w:left="1440" w:header="709" w:footer="709" w:gutter="0"/>
          <w:pgNumType w:start="1"/>
          <w:cols w:space="708"/>
          <w:titlePg/>
          <w:docGrid w:linePitch="360"/>
        </w:sectPr>
      </w:pPr>
    </w:p>
    <w:p w14:paraId="49348BA9" w14:textId="4BF46C1B" w:rsidR="00095D9A" w:rsidRDefault="00095D9A" w:rsidP="00095D9A">
      <w:r>
        <w:rPr>
          <w:noProof/>
        </w:rPr>
        <w:drawing>
          <wp:anchor distT="0" distB="0" distL="114300" distR="114300" simplePos="0" relativeHeight="251658244" behindDoc="1" locked="0" layoutInCell="1" allowOverlap="1" wp14:anchorId="7FDEA077" wp14:editId="1ABEFFC7">
            <wp:simplePos x="0" y="0"/>
            <wp:positionH relativeFrom="column">
              <wp:posOffset>3762375</wp:posOffset>
            </wp:positionH>
            <wp:positionV relativeFrom="page">
              <wp:posOffset>1019175</wp:posOffset>
            </wp:positionV>
            <wp:extent cx="5731372" cy="6406515"/>
            <wp:effectExtent l="0" t="0" r="317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64">
                      <a:extLst>
                        <a:ext uri="{28A0092B-C50C-407E-A947-70E740481C1C}">
                          <a14:useLocalDpi xmlns:a14="http://schemas.microsoft.com/office/drawing/2010/main" val="0"/>
                        </a:ext>
                      </a:extLst>
                    </a:blip>
                    <a:stretch>
                      <a:fillRect/>
                    </a:stretch>
                  </pic:blipFill>
                  <pic:spPr>
                    <a:xfrm>
                      <a:off x="0" y="0"/>
                      <a:ext cx="5731372" cy="6406515"/>
                    </a:xfrm>
                    <a:prstGeom prst="rect">
                      <a:avLst/>
                    </a:prstGeom>
                  </pic:spPr>
                </pic:pic>
              </a:graphicData>
            </a:graphic>
            <wp14:sizeRelH relativeFrom="page">
              <wp14:pctWidth>0</wp14:pctWidth>
            </wp14:sizeRelH>
            <wp14:sizeRelV relativeFrom="page">
              <wp14:pctHeight>0</wp14:pctHeight>
            </wp14:sizeRelV>
          </wp:anchor>
        </w:drawing>
      </w:r>
      <w:r w:rsidRPr="00744E6D">
        <w:rPr>
          <w:noProof/>
        </w:rPr>
        <w:drawing>
          <wp:anchor distT="0" distB="0" distL="114300" distR="114300" simplePos="0" relativeHeight="251658243" behindDoc="0" locked="0" layoutInCell="1" allowOverlap="1" wp14:anchorId="2C67233A" wp14:editId="0BBF28D0">
            <wp:simplePos x="0" y="0"/>
            <wp:positionH relativeFrom="column">
              <wp:posOffset>-466725</wp:posOffset>
            </wp:positionH>
            <wp:positionV relativeFrom="page">
              <wp:posOffset>9500870</wp:posOffset>
            </wp:positionV>
            <wp:extent cx="1323975" cy="913698"/>
            <wp:effectExtent l="0" t="0" r="0" b="1270"/>
            <wp:wrapNone/>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323975" cy="913698"/>
                    </a:xfrm>
                    <a:prstGeom prst="rect">
                      <a:avLst/>
                    </a:prstGeom>
                  </pic:spPr>
                </pic:pic>
              </a:graphicData>
            </a:graphic>
            <wp14:sizeRelH relativeFrom="page">
              <wp14:pctWidth>0</wp14:pctWidth>
            </wp14:sizeRelH>
            <wp14:sizeRelV relativeFrom="page">
              <wp14:pctHeight>0</wp14:pctHeight>
            </wp14:sizeRelV>
          </wp:anchor>
        </w:drawing>
      </w:r>
    </w:p>
    <w:p w14:paraId="51D7DA7E" w14:textId="7AE426D0" w:rsidR="00041F73" w:rsidRPr="0048400C" w:rsidRDefault="0097793C" w:rsidP="00C635E8">
      <w:r w:rsidRPr="00744E6D">
        <w:rPr>
          <w:noProof/>
        </w:rPr>
        <mc:AlternateContent>
          <mc:Choice Requires="wps">
            <w:drawing>
              <wp:anchor distT="0" distB="0" distL="114300" distR="114300" simplePos="0" relativeHeight="251658242" behindDoc="0" locked="0" layoutInCell="1" allowOverlap="1" wp14:anchorId="3F8D64A4" wp14:editId="2D7CE700">
                <wp:simplePos x="0" y="0"/>
                <wp:positionH relativeFrom="column">
                  <wp:posOffset>-556592</wp:posOffset>
                </wp:positionH>
                <wp:positionV relativeFrom="paragraph">
                  <wp:posOffset>5126962</wp:posOffset>
                </wp:positionV>
                <wp:extent cx="3848431" cy="297180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431" cy="29718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84721E4" w14:textId="77777777" w:rsidR="0097793C" w:rsidRPr="007A7072" w:rsidRDefault="0097793C" w:rsidP="0097793C">
                            <w:pPr>
                              <w:pStyle w:val="BackCoverBody"/>
                              <w:rPr>
                                <w:rFonts w:ascii="Arial" w:hAnsi="Arial" w:cs="Arial"/>
                              </w:rPr>
                            </w:pPr>
                            <w:r w:rsidRPr="007A7072">
                              <w:rPr>
                                <w:rFonts w:ascii="Arial" w:hAnsi="Arial" w:cs="Arial"/>
                              </w:rPr>
                              <w:t>To find out more please contact:</w:t>
                            </w:r>
                          </w:p>
                          <w:p w14:paraId="4767D609" w14:textId="12A4BD59" w:rsidR="0097793C" w:rsidRPr="007A7072" w:rsidRDefault="0097793C" w:rsidP="0097793C">
                            <w:pPr>
                              <w:pStyle w:val="BackCoverBody"/>
                              <w:rPr>
                                <w:rFonts w:ascii="Arial" w:hAnsi="Arial" w:cs="Arial"/>
                              </w:rPr>
                            </w:pPr>
                            <w:r w:rsidRPr="00DA0DB3">
                              <w:rPr>
                                <w:rFonts w:ascii="Arial" w:hAnsi="Arial" w:cs="Arial"/>
                              </w:rPr>
                              <w:t>E:</w:t>
                            </w:r>
                            <w:hyperlink r:id="rId66" w:history="1">
                              <w:r w:rsidR="0022358F" w:rsidRPr="00DB4B78">
                                <w:rPr>
                                  <w:rStyle w:val="Hyperlink"/>
                                  <w:rFonts w:ascii="Arial" w:hAnsi="Arial" w:cs="Arial"/>
                                </w:rPr>
                                <w:t>enquiries@recmanager.co.uk</w:t>
                              </w:r>
                            </w:hyperlink>
                            <w:r w:rsidR="0022358F">
                              <w:rPr>
                                <w:rFonts w:ascii="Arial" w:hAnsi="Arial" w:cs="Arial"/>
                              </w:rPr>
                              <w:t xml:space="preserve"> </w:t>
                            </w:r>
                          </w:p>
                          <w:p w14:paraId="758AF141" w14:textId="77777777" w:rsidR="0097793C" w:rsidRPr="007A7072" w:rsidRDefault="0097793C" w:rsidP="0097793C">
                            <w:pPr>
                              <w:pStyle w:val="BackCoverBody"/>
                              <w:rPr>
                                <w:rFonts w:ascii="Arial" w:hAnsi="Arial" w:cs="Arial"/>
                              </w:rPr>
                            </w:pPr>
                            <w:r w:rsidRPr="007A7072">
                              <w:rPr>
                                <w:rFonts w:ascii="Arial" w:hAnsi="Arial" w:cs="Arial"/>
                              </w:rPr>
                              <w:t>W:  www.recportal.co.uk</w:t>
                            </w:r>
                          </w:p>
                          <w:p w14:paraId="38344B2B" w14:textId="77777777" w:rsidR="00095D9A" w:rsidRPr="002E6C6A" w:rsidRDefault="00095D9A" w:rsidP="00095D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8D64A4" id="_x0000_t202" coordsize="21600,21600" o:spt="202" path="m,l,21600r21600,l21600,xe">
                <v:stroke joinstyle="miter"/>
                <v:path gradientshapeok="t" o:connecttype="rect"/>
              </v:shapetype>
              <v:shape id="Text Box 2" o:spid="_x0000_s1026" type="#_x0000_t202" style="position:absolute;margin-left:-43.85pt;margin-top:403.7pt;width:303.05pt;height:23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" fillcolor="white [3201]" stroked="f" strokeweight=".5pt">
                <v:textbox>
                  <w:txbxContent>
                    <w:p w14:paraId="384721E4" w14:textId="77777777" w:rsidR="0097793C" w:rsidRPr="007A7072" w:rsidRDefault="0097793C" w:rsidP="0097793C">
                      <w:pPr>
                        <w:pStyle w:val="BackCoverBody"/>
                        <w:rPr>
                          <w:rFonts w:ascii="Arial" w:hAnsi="Arial" w:cs="Arial"/>
                        </w:rPr>
                      </w:pPr>
                      <w:r w:rsidRPr="007A7072">
                        <w:rPr>
                          <w:rFonts w:ascii="Arial" w:hAnsi="Arial" w:cs="Arial"/>
                        </w:rPr>
                        <w:t>To find out more please contact:</w:t>
                      </w:r>
                    </w:p>
                    <w:p w14:paraId="4767D609" w14:textId="12A4BD59" w:rsidR="0097793C" w:rsidRPr="007A7072" w:rsidRDefault="0097793C" w:rsidP="0097793C">
                      <w:pPr>
                        <w:pStyle w:val="BackCoverBody"/>
                        <w:rPr>
                          <w:rFonts w:ascii="Arial" w:hAnsi="Arial" w:cs="Arial"/>
                        </w:rPr>
                      </w:pPr>
                      <w:r w:rsidRPr="00DA0DB3">
                        <w:rPr>
                          <w:rFonts w:ascii="Arial" w:hAnsi="Arial" w:cs="Arial"/>
                        </w:rPr>
                        <w:t>E:</w:t>
                      </w:r>
                      <w:hyperlink r:id="rId67" w:history="1">
                        <w:r w:rsidR="0022358F" w:rsidRPr="00DB4B78">
                          <w:rPr>
                            <w:rStyle w:val="Hyperlink"/>
                            <w:rFonts w:ascii="Arial" w:hAnsi="Arial" w:cs="Arial"/>
                          </w:rPr>
                          <w:t>enquiries@recmanager.co.uk</w:t>
                        </w:r>
                      </w:hyperlink>
                      <w:r w:rsidR="0022358F">
                        <w:rPr>
                          <w:rFonts w:ascii="Arial" w:hAnsi="Arial" w:cs="Arial"/>
                        </w:rPr>
                        <w:t xml:space="preserve"> </w:t>
                      </w:r>
                    </w:p>
                    <w:p w14:paraId="758AF141" w14:textId="77777777" w:rsidR="0097793C" w:rsidRPr="007A7072" w:rsidRDefault="0097793C" w:rsidP="0097793C">
                      <w:pPr>
                        <w:pStyle w:val="BackCoverBody"/>
                        <w:rPr>
                          <w:rFonts w:ascii="Arial" w:hAnsi="Arial" w:cs="Arial"/>
                        </w:rPr>
                      </w:pPr>
                      <w:r w:rsidRPr="007A7072">
                        <w:rPr>
                          <w:rFonts w:ascii="Arial" w:hAnsi="Arial" w:cs="Arial"/>
                        </w:rPr>
                        <w:t>W:  www.recportal.co.uk</w:t>
                      </w:r>
                    </w:p>
                    <w:p w14:paraId="38344B2B" w14:textId="77777777" w:rsidR="00095D9A" w:rsidRPr="002E6C6A" w:rsidRDefault="00095D9A" w:rsidP="00095D9A"/>
                  </w:txbxContent>
                </v:textbox>
              </v:shape>
            </w:pict>
          </mc:Fallback>
        </mc:AlternateContent>
      </w:r>
    </w:p>
    <w:sectPr w:rsidR="00041F73" w:rsidRPr="0048400C" w:rsidSect="00A649F2">
      <w:headerReference w:type="default" r:id="rId68"/>
      <w:footerReference w:type="default" r:id="rId69"/>
      <w:type w:val="continuous"/>
      <w:pgSz w:w="11906" w:h="16838"/>
      <w:pgMar w:top="1440" w:right="1440" w:bottom="1440" w:left="1440"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James HARDY" w:date="2026-02-11T11:15:00Z" w:initials="JH">
    <w:p w14:paraId="55C8E30C" w14:textId="77777777" w:rsidR="00465190" w:rsidRDefault="00465190" w:rsidP="00465190">
      <w:pPr>
        <w:pStyle w:val="CommentText"/>
      </w:pPr>
      <w:r>
        <w:rPr>
          <w:rStyle w:val="CommentReference"/>
        </w:rPr>
        <w:annotationRef/>
      </w:r>
      <w:r>
        <w:t>Do we need to possibly explain different channels? Or is it better to leave it vague on purpose?</w:t>
      </w:r>
    </w:p>
  </w:comment>
  <w:comment w:id="3" w:author="James HARDY" w:date="2026-02-11T11:00:00Z" w:initials="JH">
    <w:p w14:paraId="427BD969" w14:textId="263251C7" w:rsidR="00450C80" w:rsidRDefault="00450C80" w:rsidP="00450C80">
      <w:pPr>
        <w:pStyle w:val="CommentText"/>
      </w:pPr>
      <w:r>
        <w:rPr>
          <w:rStyle w:val="CommentReference"/>
        </w:rPr>
        <w:annotationRef/>
      </w:r>
      <w:r>
        <w:t>Is this supposed to say “If the levels of detriment requires this, it will be taken to REC PAB for revie”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C8E30C" w15:done="1"/>
  <w15:commentEx w15:paraId="427BD96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A9FB07" w16cex:dateUtc="2026-02-11T11:15:00Z"/>
  <w16cex:commentExtensible w16cex:durableId="3F85B9CE" w16cex:dateUtc="2026-02-11T11: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C8E30C" w16cid:durableId="57A9FB07"/>
  <w16cid:commentId w16cid:paraId="427BD969" w16cid:durableId="3F85B9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5F50D" w14:textId="77777777" w:rsidR="00172F24" w:rsidRDefault="00172F24" w:rsidP="00C635E8">
      <w:r>
        <w:separator/>
      </w:r>
    </w:p>
  </w:endnote>
  <w:endnote w:type="continuationSeparator" w:id="0">
    <w:p w14:paraId="4CDCF3AD" w14:textId="77777777" w:rsidR="00172F24" w:rsidRDefault="00172F24" w:rsidP="00C635E8">
      <w:r>
        <w:continuationSeparator/>
      </w:r>
    </w:p>
  </w:endnote>
  <w:endnote w:type="continuationNotice" w:id="1">
    <w:p w14:paraId="00859EF9" w14:textId="77777777" w:rsidR="00172F24" w:rsidRDefault="00172F24" w:rsidP="00C635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altName w:val="メイリオ"/>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83043"/>
      <w:docPartObj>
        <w:docPartGallery w:val="Page Numbers (Bottom of Page)"/>
        <w:docPartUnique/>
      </w:docPartObj>
    </w:sdtPr>
    <w:sdtEndPr>
      <w:rPr>
        <w:noProof/>
      </w:rPr>
    </w:sdtEndPr>
    <w:sdtContent>
      <w:p w14:paraId="001698D8" w14:textId="0A29C9D7" w:rsidR="00985404" w:rsidRDefault="00985404" w:rsidP="00985404">
        <w:pPr>
          <w:pStyle w:val="Footer"/>
          <w:tabs>
            <w:tab w:val="right" w:pos="9639"/>
          </w:tabs>
          <w:ind w:right="-993"/>
        </w:pPr>
        <w:r w:rsidRPr="007D0080">
          <w:rPr>
            <w:noProof/>
            <w:sz w:val="18"/>
            <w:szCs w:val="18"/>
          </w:rPr>
          <mc:AlternateContent>
            <mc:Choice Requires="wps">
              <w:drawing>
                <wp:anchor distT="0" distB="0" distL="114300" distR="114300" simplePos="0" relativeHeight="251658240" behindDoc="0" locked="0" layoutInCell="1" allowOverlap="1" wp14:anchorId="64571E09" wp14:editId="03035AF5">
                  <wp:simplePos x="0" y="0"/>
                  <wp:positionH relativeFrom="margin">
                    <wp:align>center</wp:align>
                  </wp:positionH>
                  <wp:positionV relativeFrom="bottomMargin">
                    <wp:align>top</wp:align>
                  </wp:positionV>
                  <wp:extent cx="5915025" cy="9525"/>
                  <wp:effectExtent l="0" t="0" r="28575" b="28575"/>
                  <wp:wrapNone/>
                  <wp:docPr id="135208524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6B2FDB5" id="Straight Connector 3" o:spid="_x0000_s1026" style="position:absolute;flip:y;z-index:251658240;visibility:visible;mso-wrap-style:square;mso-width-percent:0;mso-height-percent:0;mso-wrap-distance-left:9pt;mso-wrap-distance-top:0;mso-wrap-distance-right:9pt;mso-wrap-distance-bottom:0;mso-position-horizontal:center;mso-position-horizontal-relative:margin;mso-position-vertical:top;mso-position-vertical-relative:bottom-margin-area;mso-width-percent:0;mso-height-percent:0;mso-width-relative:margin;mso-height-relative:margin" from="0,0"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" strokecolor="#4a8a40" strokeweight="1.5pt">
                  <w10:wrap anchorx="margin" anchory="margin"/>
                </v:line>
              </w:pict>
            </mc:Fallback>
          </mc:AlternateContent>
        </w:r>
      </w:p>
      <w:p w14:paraId="18BEB85B" w14:textId="2F95A01B" w:rsidR="00985404" w:rsidRDefault="00AB585D" w:rsidP="00985404">
        <w:pPr>
          <w:pStyle w:val="Footer"/>
          <w:tabs>
            <w:tab w:val="right" w:pos="9639"/>
          </w:tabs>
          <w:ind w:right="-993"/>
        </w:pPr>
        <w:r>
          <w:rPr>
            <w:sz w:val="18"/>
            <w:szCs w:val="18"/>
          </w:rPr>
          <w:t xml:space="preserve">I0237 - </w:t>
        </w:r>
        <w:r w:rsidR="0039384A">
          <w:rPr>
            <w:sz w:val="18"/>
            <w:szCs w:val="18"/>
          </w:rPr>
          <w:t>Erroneous Switch Guidance Document</w:t>
        </w:r>
        <w:r w:rsidR="00985404" w:rsidRPr="007D0080">
          <w:rPr>
            <w:sz w:val="18"/>
            <w:szCs w:val="18"/>
          </w:rPr>
          <w:tab/>
        </w:r>
        <w:r w:rsidR="00985404" w:rsidRPr="007D0080">
          <w:rPr>
            <w:sz w:val="18"/>
            <w:szCs w:val="18"/>
          </w:rPr>
          <w:fldChar w:fldCharType="begin"/>
        </w:r>
        <w:r w:rsidR="00985404" w:rsidRPr="007D0080">
          <w:rPr>
            <w:sz w:val="18"/>
            <w:szCs w:val="18"/>
          </w:rPr>
          <w:instrText xml:space="preserve"> PAGE   \* MERGEFORMAT </w:instrText>
        </w:r>
        <w:r w:rsidR="00985404" w:rsidRPr="007D0080">
          <w:rPr>
            <w:sz w:val="18"/>
            <w:szCs w:val="18"/>
          </w:rPr>
          <w:fldChar w:fldCharType="separate"/>
        </w:r>
        <w:r w:rsidR="00985404">
          <w:rPr>
            <w:sz w:val="18"/>
            <w:szCs w:val="18"/>
          </w:rPr>
          <w:t>2</w:t>
        </w:r>
        <w:r w:rsidR="00985404" w:rsidRPr="007D0080">
          <w:rPr>
            <w:noProof/>
            <w:sz w:val="18"/>
            <w:szCs w:val="18"/>
          </w:rPr>
          <w:fldChar w:fldCharType="end"/>
        </w:r>
        <w:r w:rsidR="00985404" w:rsidRPr="007D0080">
          <w:rPr>
            <w:sz w:val="18"/>
            <w:szCs w:val="18"/>
          </w:rPr>
          <w:tab/>
          <w:t xml:space="preserve"> Copyright </w:t>
        </w:r>
        <w:r w:rsidR="00985404" w:rsidRPr="007D0080">
          <w:rPr>
            <w:sz w:val="18"/>
            <w:szCs w:val="18"/>
          </w:rPr>
          <w:fldChar w:fldCharType="begin"/>
        </w:r>
        <w:r w:rsidR="00985404" w:rsidRPr="007D0080">
          <w:rPr>
            <w:sz w:val="18"/>
            <w:szCs w:val="18"/>
          </w:rPr>
          <w:instrText xml:space="preserve"> DATE  \@ "yyyy"  \* MERGEFORMAT </w:instrText>
        </w:r>
        <w:r w:rsidR="00985404" w:rsidRPr="007D0080">
          <w:rPr>
            <w:sz w:val="18"/>
            <w:szCs w:val="18"/>
          </w:rPr>
          <w:fldChar w:fldCharType="separate"/>
        </w:r>
        <w:r w:rsidR="00DB7378">
          <w:rPr>
            <w:noProof/>
            <w:sz w:val="18"/>
            <w:szCs w:val="18"/>
          </w:rPr>
          <w:t>2026</w:t>
        </w:r>
        <w:r w:rsidR="00985404" w:rsidRPr="007D0080">
          <w:rPr>
            <w:sz w:val="18"/>
            <w:szCs w:val="18"/>
          </w:rPr>
          <w:fldChar w:fldCharType="end"/>
        </w:r>
        <w:r w:rsidR="00985404" w:rsidRPr="007D0080">
          <w:rPr>
            <w:sz w:val="18"/>
            <w:szCs w:val="18"/>
          </w:rPr>
          <w:t xml:space="preserve"> Retail Energy Code Company </w:t>
        </w:r>
      </w:p>
      <w:p w14:paraId="32485482" w14:textId="3D95A1F3" w:rsidR="007C28C0" w:rsidRDefault="00172F24" w:rsidP="008B7CD5">
        <w:pPr>
          <w:pStyle w:val="Footer"/>
          <w:jc w:val="center"/>
        </w:pPr>
      </w:p>
    </w:sdtContent>
  </w:sdt>
  <w:p w14:paraId="13B87EEB" w14:textId="27FC71AE" w:rsidR="007C28C0" w:rsidRDefault="007C28C0" w:rsidP="00C635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6658" w14:textId="3596B0B4" w:rsidR="00CC1C4D" w:rsidRDefault="00CC1C4D" w:rsidP="001620A5">
    <w:pPr>
      <w:pStyle w:val="Footer"/>
      <w:jc w:val="center"/>
    </w:pPr>
  </w:p>
  <w:p w14:paraId="7B55E620" w14:textId="77777777" w:rsidR="00CC1C4D" w:rsidRDefault="00CC1C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019AF" w14:textId="6A23D84B" w:rsidR="001E31BD" w:rsidRPr="00283089" w:rsidRDefault="001E3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B9AA1" w14:textId="77777777" w:rsidR="00172F24" w:rsidRDefault="00172F24" w:rsidP="00C635E8">
      <w:r>
        <w:separator/>
      </w:r>
    </w:p>
  </w:footnote>
  <w:footnote w:type="continuationSeparator" w:id="0">
    <w:p w14:paraId="480DFAB1" w14:textId="77777777" w:rsidR="00172F24" w:rsidRDefault="00172F24" w:rsidP="00C635E8">
      <w:r>
        <w:continuationSeparator/>
      </w:r>
    </w:p>
  </w:footnote>
  <w:footnote w:type="continuationNotice" w:id="1">
    <w:p w14:paraId="3953F5F6" w14:textId="77777777" w:rsidR="00172F24" w:rsidRDefault="00172F24" w:rsidP="00C635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C886" w14:textId="15DF1C15" w:rsidR="00E126DD" w:rsidRDefault="00E126DD">
    <w:pPr>
      <w:pStyle w:val="Header"/>
    </w:pPr>
    <w:r>
      <w:rPr>
        <w:noProof/>
      </w:rPr>
      <w:drawing>
        <wp:inline distT="0" distB="0" distL="0" distR="0" wp14:anchorId="7EB5C3D9" wp14:editId="04633A63">
          <wp:extent cx="792969" cy="547662"/>
          <wp:effectExtent l="0" t="0" r="7620" b="5080"/>
          <wp:docPr id="350321490" name="Picture 350321490"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94572" cy="548769"/>
                  </a:xfrm>
                  <a:prstGeom prst="rect">
                    <a:avLst/>
                  </a:prstGeom>
                  <a:noFill/>
                  <a:ln>
                    <a:noFill/>
                  </a:ln>
                </pic:spPr>
              </pic:pic>
            </a:graphicData>
          </a:graphic>
        </wp:inline>
      </w:drawing>
    </w:r>
  </w:p>
  <w:p w14:paraId="3D826345" w14:textId="77777777" w:rsidR="00E126DD" w:rsidRDefault="00E126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59939" w14:textId="0D49364B" w:rsidR="001E31BD" w:rsidRDefault="001215FE">
    <w:pPr>
      <w:pStyle w:val="Header"/>
      <w:tabs>
        <w:tab w:val="clear" w:pos="4513"/>
      </w:tabs>
    </w:pPr>
    <w:r>
      <w:tab/>
    </w:r>
  </w:p>
  <w:p w14:paraId="08240850" w14:textId="77777777" w:rsidR="001E31BD" w:rsidRDefault="001E31BD">
    <w:pPr>
      <w:pStyle w:val="Header"/>
    </w:pPr>
  </w:p>
  <w:p w14:paraId="695F880D" w14:textId="77777777" w:rsidR="001E31BD" w:rsidRDefault="001E31BD">
    <w:pPr>
      <w:pStyle w:val="Header"/>
    </w:pPr>
  </w:p>
  <w:p w14:paraId="10F35442" w14:textId="77777777" w:rsidR="001E31BD" w:rsidRPr="00462A70" w:rsidRDefault="001E31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CA8"/>
    <w:multiLevelType w:val="hybridMultilevel"/>
    <w:tmpl w:val="98405C6E"/>
    <w:lvl w:ilvl="0" w:tplc="4C92E2EA">
      <w:start w:val="1"/>
      <w:numFmt w:val="bullet"/>
      <w:lvlText w:val=""/>
      <w:lvlJc w:val="left"/>
      <w:pPr>
        <w:ind w:left="720" w:hanging="360"/>
      </w:pPr>
      <w:rPr>
        <w:rFonts w:ascii="Symbol" w:hAnsi="Symbol" w:hint="default"/>
        <w:color w:val="70ADA3"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E672F"/>
    <w:multiLevelType w:val="hybridMultilevel"/>
    <w:tmpl w:val="7696B6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3C12EF4"/>
    <w:multiLevelType w:val="hybridMultilevel"/>
    <w:tmpl w:val="206C5730"/>
    <w:lvl w:ilvl="0" w:tplc="F2E0116A">
      <w:start w:val="2"/>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834A40"/>
    <w:multiLevelType w:val="hybridMultilevel"/>
    <w:tmpl w:val="63902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225AE2"/>
    <w:multiLevelType w:val="hybridMultilevel"/>
    <w:tmpl w:val="B632341C"/>
    <w:lvl w:ilvl="0" w:tplc="6A2C83DA">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BD616B"/>
    <w:multiLevelType w:val="hybridMultilevel"/>
    <w:tmpl w:val="13145D14"/>
    <w:lvl w:ilvl="0" w:tplc="271A5BD2">
      <w:start w:val="1"/>
      <w:numFmt w:val="bullet"/>
      <w:lvlText w:val=""/>
      <w:lvlJc w:val="left"/>
      <w:pPr>
        <w:ind w:left="720" w:hanging="360"/>
      </w:pPr>
      <w:rPr>
        <w:rFonts w:ascii="Symbol" w:hAnsi="Symbol" w:hint="default"/>
        <w:color w:val="70ADA3"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43399A"/>
    <w:multiLevelType w:val="hybridMultilevel"/>
    <w:tmpl w:val="322C4C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A20D07"/>
    <w:multiLevelType w:val="hybridMultilevel"/>
    <w:tmpl w:val="AB1CC86A"/>
    <w:lvl w:ilvl="0" w:tplc="10C472CE">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6F4E11"/>
    <w:multiLevelType w:val="hybridMultilevel"/>
    <w:tmpl w:val="7AEC31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F250AA4"/>
    <w:multiLevelType w:val="hybridMultilevel"/>
    <w:tmpl w:val="D012F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241599"/>
    <w:multiLevelType w:val="hybridMultilevel"/>
    <w:tmpl w:val="B674066C"/>
    <w:lvl w:ilvl="0" w:tplc="2E80672C">
      <w:start w:val="1"/>
      <w:numFmt w:val="bullet"/>
      <w:lvlText w:val=""/>
      <w:lvlJc w:val="left"/>
      <w:pPr>
        <w:ind w:left="720" w:hanging="360"/>
      </w:pPr>
      <w:rPr>
        <w:rFonts w:ascii="Symbol" w:hAnsi="Symbol" w:hint="default"/>
        <w:color w:val="70ADA3" w:themeColor="accent2"/>
      </w:rPr>
    </w:lvl>
    <w:lvl w:ilvl="1" w:tplc="DED0564C">
      <w:start w:val="1"/>
      <w:numFmt w:val="bullet"/>
      <w:lvlText w:val="o"/>
      <w:lvlJc w:val="left"/>
      <w:pPr>
        <w:ind w:left="1440" w:hanging="360"/>
      </w:pPr>
      <w:rPr>
        <w:rFonts w:ascii="Courier New" w:hAnsi="Courier New" w:cs="Courier New" w:hint="default"/>
        <w:color w:val="70ADA3" w:themeColor="accent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8375E0"/>
    <w:multiLevelType w:val="hybridMultilevel"/>
    <w:tmpl w:val="40B0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AC5FC1"/>
    <w:multiLevelType w:val="hybridMultilevel"/>
    <w:tmpl w:val="81FCFE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442BF1"/>
    <w:multiLevelType w:val="hybridMultilevel"/>
    <w:tmpl w:val="5EC8A9E4"/>
    <w:lvl w:ilvl="0" w:tplc="408EF21A">
      <w:start w:val="1"/>
      <w:numFmt w:val="upperRoman"/>
      <w:lvlText w:val="%1."/>
      <w:lvlJc w:val="right"/>
      <w:pPr>
        <w:ind w:left="720" w:hanging="360"/>
      </w:pPr>
      <w:rPr>
        <w:rFonts w:asciiTheme="minorHAnsi" w:eastAsiaTheme="minorHAnsi"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423CCD"/>
    <w:multiLevelType w:val="hybridMultilevel"/>
    <w:tmpl w:val="68D079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098486D"/>
    <w:multiLevelType w:val="hybridMultilevel"/>
    <w:tmpl w:val="60C033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1C0D5A"/>
    <w:multiLevelType w:val="hybridMultilevel"/>
    <w:tmpl w:val="F23EE3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771621B"/>
    <w:multiLevelType w:val="hybridMultilevel"/>
    <w:tmpl w:val="0BF4D0B6"/>
    <w:lvl w:ilvl="0" w:tplc="012C5178">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00691A"/>
    <w:multiLevelType w:val="hybridMultilevel"/>
    <w:tmpl w:val="8F04F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7C6532"/>
    <w:multiLevelType w:val="hybridMultilevel"/>
    <w:tmpl w:val="15BC4B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6B31ED"/>
    <w:multiLevelType w:val="hybridMultilevel"/>
    <w:tmpl w:val="120E0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0D58F5"/>
    <w:multiLevelType w:val="hybridMultilevel"/>
    <w:tmpl w:val="D5C0A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E30839"/>
    <w:multiLevelType w:val="hybridMultilevel"/>
    <w:tmpl w:val="82F0D7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441249"/>
    <w:multiLevelType w:val="hybridMultilevel"/>
    <w:tmpl w:val="86D63D08"/>
    <w:lvl w:ilvl="0" w:tplc="FF085DB6">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7A2547"/>
    <w:multiLevelType w:val="hybridMultilevel"/>
    <w:tmpl w:val="7C6CB210"/>
    <w:lvl w:ilvl="0" w:tplc="89B8EDFC">
      <w:start w:val="2"/>
      <w:numFmt w:val="upperRoman"/>
      <w:lvlText w:val="%1."/>
      <w:lvlJc w:val="right"/>
      <w:pPr>
        <w:ind w:left="720" w:hanging="360"/>
      </w:pPr>
      <w:rPr>
        <w:rFonts w:asciiTheme="minorHAnsi" w:eastAsia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B94911"/>
    <w:multiLevelType w:val="hybridMultilevel"/>
    <w:tmpl w:val="4CACB270"/>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F91BD7"/>
    <w:multiLevelType w:val="hybridMultilevel"/>
    <w:tmpl w:val="3CC23F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044F02"/>
    <w:multiLevelType w:val="hybridMultilevel"/>
    <w:tmpl w:val="74E88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E642EB"/>
    <w:multiLevelType w:val="hybridMultilevel"/>
    <w:tmpl w:val="9BB05AFA"/>
    <w:lvl w:ilvl="0" w:tplc="17FA1A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7747015">
    <w:abstractNumId w:val="3"/>
  </w:num>
  <w:num w:numId="2" w16cid:durableId="840509625">
    <w:abstractNumId w:val="25"/>
  </w:num>
  <w:num w:numId="3" w16cid:durableId="1158308937">
    <w:abstractNumId w:val="2"/>
  </w:num>
  <w:num w:numId="4" w16cid:durableId="1038314031">
    <w:abstractNumId w:val="22"/>
  </w:num>
  <w:num w:numId="5" w16cid:durableId="1385831869">
    <w:abstractNumId w:val="6"/>
  </w:num>
  <w:num w:numId="6" w16cid:durableId="798914361">
    <w:abstractNumId w:val="11"/>
  </w:num>
  <w:num w:numId="7" w16cid:durableId="1966765373">
    <w:abstractNumId w:val="20"/>
  </w:num>
  <w:num w:numId="8" w16cid:durableId="31272061">
    <w:abstractNumId w:val="16"/>
  </w:num>
  <w:num w:numId="9" w16cid:durableId="1840271898">
    <w:abstractNumId w:val="1"/>
  </w:num>
  <w:num w:numId="10" w16cid:durableId="8172635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2674437">
    <w:abstractNumId w:val="13"/>
  </w:num>
  <w:num w:numId="12" w16cid:durableId="1881548744">
    <w:abstractNumId w:val="21"/>
  </w:num>
  <w:num w:numId="13" w16cid:durableId="208955792">
    <w:abstractNumId w:val="27"/>
  </w:num>
  <w:num w:numId="14" w16cid:durableId="939262209">
    <w:abstractNumId w:val="9"/>
  </w:num>
  <w:num w:numId="15" w16cid:durableId="813645943">
    <w:abstractNumId w:val="18"/>
  </w:num>
  <w:num w:numId="16" w16cid:durableId="1272281252">
    <w:abstractNumId w:val="24"/>
  </w:num>
  <w:num w:numId="17" w16cid:durableId="173955544">
    <w:abstractNumId w:val="17"/>
  </w:num>
  <w:num w:numId="18" w16cid:durableId="683630067">
    <w:abstractNumId w:val="0"/>
  </w:num>
  <w:num w:numId="19" w16cid:durableId="1385373010">
    <w:abstractNumId w:val="5"/>
  </w:num>
  <w:num w:numId="20" w16cid:durableId="106118355">
    <w:abstractNumId w:val="10"/>
  </w:num>
  <w:num w:numId="21" w16cid:durableId="376004521">
    <w:abstractNumId w:val="14"/>
  </w:num>
  <w:num w:numId="22" w16cid:durableId="1962682937">
    <w:abstractNumId w:val="28"/>
  </w:num>
  <w:num w:numId="23" w16cid:durableId="579487485">
    <w:abstractNumId w:val="7"/>
  </w:num>
  <w:num w:numId="24" w16cid:durableId="28729296">
    <w:abstractNumId w:val="23"/>
  </w:num>
  <w:num w:numId="25" w16cid:durableId="753210546">
    <w:abstractNumId w:val="4"/>
  </w:num>
  <w:num w:numId="26" w16cid:durableId="1178422413">
    <w:abstractNumId w:val="26"/>
  </w:num>
  <w:num w:numId="27" w16cid:durableId="2009745558">
    <w:abstractNumId w:val="19"/>
  </w:num>
  <w:num w:numId="28" w16cid:durableId="2023823843">
    <w:abstractNumId w:val="15"/>
  </w:num>
  <w:num w:numId="29" w16cid:durableId="7687633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HARDY">
    <w15:presenceInfo w15:providerId="AD" w15:userId="S::james.hardy@talan.com::76cfd043-a32c-4e6d-a40b-b44eb2ddf8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Y0sjAzNDQzMDOzMDFW0lEKTi0uzszPAykwrgUAG0dgEywAAAA="/>
  </w:docVars>
  <w:rsids>
    <w:rsidRoot w:val="00041F73"/>
    <w:rsid w:val="00001FDF"/>
    <w:rsid w:val="000025E5"/>
    <w:rsid w:val="00004CB0"/>
    <w:rsid w:val="00004DC2"/>
    <w:rsid w:val="000070FE"/>
    <w:rsid w:val="0001002C"/>
    <w:rsid w:val="000101A5"/>
    <w:rsid w:val="00010F43"/>
    <w:rsid w:val="00011748"/>
    <w:rsid w:val="00012D6B"/>
    <w:rsid w:val="000138CA"/>
    <w:rsid w:val="00013EBA"/>
    <w:rsid w:val="00014096"/>
    <w:rsid w:val="00021F5E"/>
    <w:rsid w:val="00023828"/>
    <w:rsid w:val="00024638"/>
    <w:rsid w:val="00026BDD"/>
    <w:rsid w:val="00030FE2"/>
    <w:rsid w:val="000314F0"/>
    <w:rsid w:val="00032EC7"/>
    <w:rsid w:val="00032FDC"/>
    <w:rsid w:val="00033C01"/>
    <w:rsid w:val="00041F73"/>
    <w:rsid w:val="00042F1A"/>
    <w:rsid w:val="00043529"/>
    <w:rsid w:val="00043BD1"/>
    <w:rsid w:val="0004595A"/>
    <w:rsid w:val="00045D5D"/>
    <w:rsid w:val="0005076E"/>
    <w:rsid w:val="00054CA5"/>
    <w:rsid w:val="00056C9E"/>
    <w:rsid w:val="000574D2"/>
    <w:rsid w:val="000604B7"/>
    <w:rsid w:val="000608B0"/>
    <w:rsid w:val="00061292"/>
    <w:rsid w:val="000651D8"/>
    <w:rsid w:val="000651D9"/>
    <w:rsid w:val="00065C88"/>
    <w:rsid w:val="00065F1C"/>
    <w:rsid w:val="00066DC8"/>
    <w:rsid w:val="0006714C"/>
    <w:rsid w:val="000671E5"/>
    <w:rsid w:val="00070831"/>
    <w:rsid w:val="00072A3B"/>
    <w:rsid w:val="00074346"/>
    <w:rsid w:val="000743E9"/>
    <w:rsid w:val="000744EF"/>
    <w:rsid w:val="0007677C"/>
    <w:rsid w:val="000820A3"/>
    <w:rsid w:val="00082AEB"/>
    <w:rsid w:val="00084EB1"/>
    <w:rsid w:val="00087950"/>
    <w:rsid w:val="00087A79"/>
    <w:rsid w:val="000907AA"/>
    <w:rsid w:val="00092F55"/>
    <w:rsid w:val="000937AA"/>
    <w:rsid w:val="00093EC7"/>
    <w:rsid w:val="0009470A"/>
    <w:rsid w:val="000948C6"/>
    <w:rsid w:val="00094B10"/>
    <w:rsid w:val="00094D3D"/>
    <w:rsid w:val="00095D9A"/>
    <w:rsid w:val="00095FC4"/>
    <w:rsid w:val="000978ED"/>
    <w:rsid w:val="000A3E54"/>
    <w:rsid w:val="000A48C0"/>
    <w:rsid w:val="000A4DD6"/>
    <w:rsid w:val="000A549E"/>
    <w:rsid w:val="000B1D62"/>
    <w:rsid w:val="000B48CE"/>
    <w:rsid w:val="000B5F11"/>
    <w:rsid w:val="000B7858"/>
    <w:rsid w:val="000C32FC"/>
    <w:rsid w:val="000C3907"/>
    <w:rsid w:val="000C48B7"/>
    <w:rsid w:val="000C4E33"/>
    <w:rsid w:val="000D1AA4"/>
    <w:rsid w:val="000D2D97"/>
    <w:rsid w:val="000D308A"/>
    <w:rsid w:val="000D3D04"/>
    <w:rsid w:val="000D429C"/>
    <w:rsid w:val="000D43AE"/>
    <w:rsid w:val="000D46CA"/>
    <w:rsid w:val="000D62B9"/>
    <w:rsid w:val="000E064F"/>
    <w:rsid w:val="000E0AB7"/>
    <w:rsid w:val="000E0D6E"/>
    <w:rsid w:val="000E29B8"/>
    <w:rsid w:val="000E35DB"/>
    <w:rsid w:val="000E513E"/>
    <w:rsid w:val="000E5419"/>
    <w:rsid w:val="000E7A27"/>
    <w:rsid w:val="000E7AFF"/>
    <w:rsid w:val="000F15D8"/>
    <w:rsid w:val="000F6944"/>
    <w:rsid w:val="000F73F4"/>
    <w:rsid w:val="00100367"/>
    <w:rsid w:val="0010097F"/>
    <w:rsid w:val="001045AB"/>
    <w:rsid w:val="00104C73"/>
    <w:rsid w:val="0010533B"/>
    <w:rsid w:val="0010615D"/>
    <w:rsid w:val="00106E98"/>
    <w:rsid w:val="00107AA8"/>
    <w:rsid w:val="001134B9"/>
    <w:rsid w:val="00113D77"/>
    <w:rsid w:val="00114187"/>
    <w:rsid w:val="00114A42"/>
    <w:rsid w:val="00117E31"/>
    <w:rsid w:val="00120F4E"/>
    <w:rsid w:val="001215FE"/>
    <w:rsid w:val="001235CF"/>
    <w:rsid w:val="00124B5B"/>
    <w:rsid w:val="001253C0"/>
    <w:rsid w:val="0012667F"/>
    <w:rsid w:val="00127011"/>
    <w:rsid w:val="00127181"/>
    <w:rsid w:val="0012726F"/>
    <w:rsid w:val="00130B08"/>
    <w:rsid w:val="00132464"/>
    <w:rsid w:val="001336A2"/>
    <w:rsid w:val="00134B92"/>
    <w:rsid w:val="0013581E"/>
    <w:rsid w:val="0013585A"/>
    <w:rsid w:val="00137368"/>
    <w:rsid w:val="0014014B"/>
    <w:rsid w:val="00140A50"/>
    <w:rsid w:val="0014194E"/>
    <w:rsid w:val="00144BC2"/>
    <w:rsid w:val="00150728"/>
    <w:rsid w:val="00154586"/>
    <w:rsid w:val="00161561"/>
    <w:rsid w:val="001620A5"/>
    <w:rsid w:val="00162FD2"/>
    <w:rsid w:val="00163D2F"/>
    <w:rsid w:val="00165453"/>
    <w:rsid w:val="00165CEC"/>
    <w:rsid w:val="00166354"/>
    <w:rsid w:val="001702B5"/>
    <w:rsid w:val="0017080F"/>
    <w:rsid w:val="0017126A"/>
    <w:rsid w:val="00172F24"/>
    <w:rsid w:val="0017348F"/>
    <w:rsid w:val="001738B7"/>
    <w:rsid w:val="00174BB4"/>
    <w:rsid w:val="00174FF8"/>
    <w:rsid w:val="00183A3D"/>
    <w:rsid w:val="00183EB5"/>
    <w:rsid w:val="00184447"/>
    <w:rsid w:val="0018666F"/>
    <w:rsid w:val="00186D2F"/>
    <w:rsid w:val="00187512"/>
    <w:rsid w:val="00191295"/>
    <w:rsid w:val="0019254F"/>
    <w:rsid w:val="00192753"/>
    <w:rsid w:val="00193F79"/>
    <w:rsid w:val="00194941"/>
    <w:rsid w:val="001972FE"/>
    <w:rsid w:val="00197F00"/>
    <w:rsid w:val="001A0A2F"/>
    <w:rsid w:val="001A0E98"/>
    <w:rsid w:val="001A11F3"/>
    <w:rsid w:val="001A120F"/>
    <w:rsid w:val="001A1736"/>
    <w:rsid w:val="001A411C"/>
    <w:rsid w:val="001A454E"/>
    <w:rsid w:val="001A633C"/>
    <w:rsid w:val="001A6E80"/>
    <w:rsid w:val="001A6FAE"/>
    <w:rsid w:val="001B20E5"/>
    <w:rsid w:val="001B39C5"/>
    <w:rsid w:val="001B53B0"/>
    <w:rsid w:val="001B6E28"/>
    <w:rsid w:val="001C44CC"/>
    <w:rsid w:val="001C4BC6"/>
    <w:rsid w:val="001D0803"/>
    <w:rsid w:val="001D0973"/>
    <w:rsid w:val="001D0EB8"/>
    <w:rsid w:val="001D157B"/>
    <w:rsid w:val="001D28A8"/>
    <w:rsid w:val="001D2F91"/>
    <w:rsid w:val="001D7B63"/>
    <w:rsid w:val="001E05D5"/>
    <w:rsid w:val="001E1F10"/>
    <w:rsid w:val="001E252C"/>
    <w:rsid w:val="001E2B49"/>
    <w:rsid w:val="001E31BD"/>
    <w:rsid w:val="001E4334"/>
    <w:rsid w:val="001E67E9"/>
    <w:rsid w:val="001F08F6"/>
    <w:rsid w:val="001F3DFB"/>
    <w:rsid w:val="001F4806"/>
    <w:rsid w:val="001F70B8"/>
    <w:rsid w:val="0020076F"/>
    <w:rsid w:val="00202B06"/>
    <w:rsid w:val="00203A40"/>
    <w:rsid w:val="0020513B"/>
    <w:rsid w:val="002076DA"/>
    <w:rsid w:val="00210202"/>
    <w:rsid w:val="00211BF6"/>
    <w:rsid w:val="00211D9F"/>
    <w:rsid w:val="00213B81"/>
    <w:rsid w:val="00215A07"/>
    <w:rsid w:val="00221874"/>
    <w:rsid w:val="00221EC1"/>
    <w:rsid w:val="00222E56"/>
    <w:rsid w:val="0022358F"/>
    <w:rsid w:val="0022520B"/>
    <w:rsid w:val="00226E23"/>
    <w:rsid w:val="00230B1D"/>
    <w:rsid w:val="002347EA"/>
    <w:rsid w:val="00234AD2"/>
    <w:rsid w:val="00235BDA"/>
    <w:rsid w:val="00236A63"/>
    <w:rsid w:val="00236F1F"/>
    <w:rsid w:val="002429C3"/>
    <w:rsid w:val="00243045"/>
    <w:rsid w:val="002431CE"/>
    <w:rsid w:val="0024464D"/>
    <w:rsid w:val="00245891"/>
    <w:rsid w:val="00246F1E"/>
    <w:rsid w:val="00247160"/>
    <w:rsid w:val="002524C4"/>
    <w:rsid w:val="002536D6"/>
    <w:rsid w:val="00253B59"/>
    <w:rsid w:val="00253C76"/>
    <w:rsid w:val="002544AF"/>
    <w:rsid w:val="00254F16"/>
    <w:rsid w:val="00255333"/>
    <w:rsid w:val="0025689C"/>
    <w:rsid w:val="0026234F"/>
    <w:rsid w:val="00263646"/>
    <w:rsid w:val="00263904"/>
    <w:rsid w:val="00265120"/>
    <w:rsid w:val="00265A05"/>
    <w:rsid w:val="00266418"/>
    <w:rsid w:val="002665B8"/>
    <w:rsid w:val="00267312"/>
    <w:rsid w:val="002726E4"/>
    <w:rsid w:val="002759E6"/>
    <w:rsid w:val="0027639F"/>
    <w:rsid w:val="002763F7"/>
    <w:rsid w:val="00276D17"/>
    <w:rsid w:val="0028053D"/>
    <w:rsid w:val="002805D0"/>
    <w:rsid w:val="00280DB3"/>
    <w:rsid w:val="00281EA7"/>
    <w:rsid w:val="002827F0"/>
    <w:rsid w:val="00282D3D"/>
    <w:rsid w:val="0028343B"/>
    <w:rsid w:val="00284131"/>
    <w:rsid w:val="00290205"/>
    <w:rsid w:val="00291900"/>
    <w:rsid w:val="00291FCD"/>
    <w:rsid w:val="00292EF5"/>
    <w:rsid w:val="002950C5"/>
    <w:rsid w:val="00296DB4"/>
    <w:rsid w:val="00297AC2"/>
    <w:rsid w:val="002A227A"/>
    <w:rsid w:val="002A2490"/>
    <w:rsid w:val="002A38B7"/>
    <w:rsid w:val="002A45EB"/>
    <w:rsid w:val="002A48A1"/>
    <w:rsid w:val="002A6547"/>
    <w:rsid w:val="002A6DB9"/>
    <w:rsid w:val="002B1A80"/>
    <w:rsid w:val="002B226E"/>
    <w:rsid w:val="002B2F1A"/>
    <w:rsid w:val="002B3499"/>
    <w:rsid w:val="002B4BE5"/>
    <w:rsid w:val="002B7969"/>
    <w:rsid w:val="002B7B81"/>
    <w:rsid w:val="002C1357"/>
    <w:rsid w:val="002C2C1D"/>
    <w:rsid w:val="002C36BD"/>
    <w:rsid w:val="002C37B2"/>
    <w:rsid w:val="002C40ED"/>
    <w:rsid w:val="002C6113"/>
    <w:rsid w:val="002C7E56"/>
    <w:rsid w:val="002D0A35"/>
    <w:rsid w:val="002D19D0"/>
    <w:rsid w:val="002D26C9"/>
    <w:rsid w:val="002D2900"/>
    <w:rsid w:val="002D2FFB"/>
    <w:rsid w:val="002D3F06"/>
    <w:rsid w:val="002D5F58"/>
    <w:rsid w:val="002D63BA"/>
    <w:rsid w:val="002D642A"/>
    <w:rsid w:val="002E2CD1"/>
    <w:rsid w:val="002E3FB6"/>
    <w:rsid w:val="002E4A38"/>
    <w:rsid w:val="002E6C07"/>
    <w:rsid w:val="002E73AE"/>
    <w:rsid w:val="002F1449"/>
    <w:rsid w:val="002F20E6"/>
    <w:rsid w:val="002F28C3"/>
    <w:rsid w:val="002F2D71"/>
    <w:rsid w:val="002F5B25"/>
    <w:rsid w:val="002F64B6"/>
    <w:rsid w:val="002F7873"/>
    <w:rsid w:val="00302D45"/>
    <w:rsid w:val="00303379"/>
    <w:rsid w:val="00303765"/>
    <w:rsid w:val="00305709"/>
    <w:rsid w:val="00306C7B"/>
    <w:rsid w:val="00306F4D"/>
    <w:rsid w:val="00306FF8"/>
    <w:rsid w:val="00307381"/>
    <w:rsid w:val="00310000"/>
    <w:rsid w:val="00310A80"/>
    <w:rsid w:val="00310EF3"/>
    <w:rsid w:val="003120AB"/>
    <w:rsid w:val="00312743"/>
    <w:rsid w:val="00312BCC"/>
    <w:rsid w:val="00315FD8"/>
    <w:rsid w:val="00316000"/>
    <w:rsid w:val="00316D28"/>
    <w:rsid w:val="003172CA"/>
    <w:rsid w:val="00317AC4"/>
    <w:rsid w:val="00317DB2"/>
    <w:rsid w:val="00323328"/>
    <w:rsid w:val="00323A29"/>
    <w:rsid w:val="00324737"/>
    <w:rsid w:val="003274EE"/>
    <w:rsid w:val="00327502"/>
    <w:rsid w:val="0032780E"/>
    <w:rsid w:val="003308D5"/>
    <w:rsid w:val="003313E6"/>
    <w:rsid w:val="00331DB7"/>
    <w:rsid w:val="003328D6"/>
    <w:rsid w:val="00333976"/>
    <w:rsid w:val="00334789"/>
    <w:rsid w:val="00335B0C"/>
    <w:rsid w:val="00337119"/>
    <w:rsid w:val="00340146"/>
    <w:rsid w:val="00340341"/>
    <w:rsid w:val="0034098C"/>
    <w:rsid w:val="00340B71"/>
    <w:rsid w:val="0034196B"/>
    <w:rsid w:val="0034239D"/>
    <w:rsid w:val="00346B6D"/>
    <w:rsid w:val="0034766D"/>
    <w:rsid w:val="00350062"/>
    <w:rsid w:val="00352C84"/>
    <w:rsid w:val="0035310C"/>
    <w:rsid w:val="00355AEE"/>
    <w:rsid w:val="00356B99"/>
    <w:rsid w:val="003627FC"/>
    <w:rsid w:val="00364BF0"/>
    <w:rsid w:val="00367CA3"/>
    <w:rsid w:val="00371C59"/>
    <w:rsid w:val="00371CD3"/>
    <w:rsid w:val="00373DD7"/>
    <w:rsid w:val="003760B1"/>
    <w:rsid w:val="0038234F"/>
    <w:rsid w:val="0038327A"/>
    <w:rsid w:val="003851F9"/>
    <w:rsid w:val="00385AC1"/>
    <w:rsid w:val="003900C5"/>
    <w:rsid w:val="00391E1E"/>
    <w:rsid w:val="0039384A"/>
    <w:rsid w:val="003A0C24"/>
    <w:rsid w:val="003A291A"/>
    <w:rsid w:val="003A2DE2"/>
    <w:rsid w:val="003A348E"/>
    <w:rsid w:val="003A4CCD"/>
    <w:rsid w:val="003B0A5D"/>
    <w:rsid w:val="003B0ACD"/>
    <w:rsid w:val="003B11FB"/>
    <w:rsid w:val="003B1DFC"/>
    <w:rsid w:val="003B2683"/>
    <w:rsid w:val="003B2735"/>
    <w:rsid w:val="003B3FAE"/>
    <w:rsid w:val="003B49D0"/>
    <w:rsid w:val="003B69C1"/>
    <w:rsid w:val="003B7969"/>
    <w:rsid w:val="003C0448"/>
    <w:rsid w:val="003C2479"/>
    <w:rsid w:val="003C45BB"/>
    <w:rsid w:val="003C58B5"/>
    <w:rsid w:val="003C5A60"/>
    <w:rsid w:val="003D02B6"/>
    <w:rsid w:val="003D0938"/>
    <w:rsid w:val="003D1AF1"/>
    <w:rsid w:val="003D2242"/>
    <w:rsid w:val="003D390B"/>
    <w:rsid w:val="003D54E5"/>
    <w:rsid w:val="003E482E"/>
    <w:rsid w:val="003E58F6"/>
    <w:rsid w:val="003E5F4B"/>
    <w:rsid w:val="003E66C8"/>
    <w:rsid w:val="003E716B"/>
    <w:rsid w:val="003F0D60"/>
    <w:rsid w:val="003F1312"/>
    <w:rsid w:val="003F301F"/>
    <w:rsid w:val="003F50F7"/>
    <w:rsid w:val="003F5C33"/>
    <w:rsid w:val="00400232"/>
    <w:rsid w:val="00400BBB"/>
    <w:rsid w:val="00400EF9"/>
    <w:rsid w:val="0040152E"/>
    <w:rsid w:val="00402E4D"/>
    <w:rsid w:val="0040573A"/>
    <w:rsid w:val="00417D0D"/>
    <w:rsid w:val="00417EE8"/>
    <w:rsid w:val="00420750"/>
    <w:rsid w:val="00422ECB"/>
    <w:rsid w:val="0042465A"/>
    <w:rsid w:val="00425E42"/>
    <w:rsid w:val="00427F1E"/>
    <w:rsid w:val="00427FCF"/>
    <w:rsid w:val="00431CC0"/>
    <w:rsid w:val="004324D4"/>
    <w:rsid w:val="00433B96"/>
    <w:rsid w:val="004340C2"/>
    <w:rsid w:val="00435035"/>
    <w:rsid w:val="0043521E"/>
    <w:rsid w:val="004357E2"/>
    <w:rsid w:val="00437263"/>
    <w:rsid w:val="00440270"/>
    <w:rsid w:val="0044096B"/>
    <w:rsid w:val="004418C2"/>
    <w:rsid w:val="00442796"/>
    <w:rsid w:val="004435F6"/>
    <w:rsid w:val="004436AC"/>
    <w:rsid w:val="004449F3"/>
    <w:rsid w:val="00450C80"/>
    <w:rsid w:val="00450D61"/>
    <w:rsid w:val="00452B40"/>
    <w:rsid w:val="00452BF0"/>
    <w:rsid w:val="00455D35"/>
    <w:rsid w:val="00456287"/>
    <w:rsid w:val="004569D0"/>
    <w:rsid w:val="00460B87"/>
    <w:rsid w:val="004612FD"/>
    <w:rsid w:val="00465190"/>
    <w:rsid w:val="004651D4"/>
    <w:rsid w:val="0046602E"/>
    <w:rsid w:val="004675AB"/>
    <w:rsid w:val="00467A80"/>
    <w:rsid w:val="00467DF5"/>
    <w:rsid w:val="004704A0"/>
    <w:rsid w:val="00470BE5"/>
    <w:rsid w:val="004713F2"/>
    <w:rsid w:val="00471ABF"/>
    <w:rsid w:val="00471FE0"/>
    <w:rsid w:val="00476EA7"/>
    <w:rsid w:val="004772D2"/>
    <w:rsid w:val="00480747"/>
    <w:rsid w:val="004814C1"/>
    <w:rsid w:val="00482E4B"/>
    <w:rsid w:val="0048400C"/>
    <w:rsid w:val="00485612"/>
    <w:rsid w:val="00487C88"/>
    <w:rsid w:val="00491A11"/>
    <w:rsid w:val="00492ABB"/>
    <w:rsid w:val="004942A1"/>
    <w:rsid w:val="004961BD"/>
    <w:rsid w:val="00496F3E"/>
    <w:rsid w:val="004A0643"/>
    <w:rsid w:val="004A592A"/>
    <w:rsid w:val="004A6C38"/>
    <w:rsid w:val="004B6660"/>
    <w:rsid w:val="004C240D"/>
    <w:rsid w:val="004C34C6"/>
    <w:rsid w:val="004C398A"/>
    <w:rsid w:val="004C5308"/>
    <w:rsid w:val="004C63E4"/>
    <w:rsid w:val="004C753C"/>
    <w:rsid w:val="004C783B"/>
    <w:rsid w:val="004D12EB"/>
    <w:rsid w:val="004D302D"/>
    <w:rsid w:val="004D39CD"/>
    <w:rsid w:val="004D59BB"/>
    <w:rsid w:val="004D5B39"/>
    <w:rsid w:val="004E281E"/>
    <w:rsid w:val="004E447F"/>
    <w:rsid w:val="004E5B51"/>
    <w:rsid w:val="004E6D2F"/>
    <w:rsid w:val="004E73D5"/>
    <w:rsid w:val="004F174D"/>
    <w:rsid w:val="004F4CC8"/>
    <w:rsid w:val="004F5710"/>
    <w:rsid w:val="004F5DB7"/>
    <w:rsid w:val="00501C49"/>
    <w:rsid w:val="00501C88"/>
    <w:rsid w:val="00503E8E"/>
    <w:rsid w:val="00504EF9"/>
    <w:rsid w:val="00505363"/>
    <w:rsid w:val="005061A2"/>
    <w:rsid w:val="005064AC"/>
    <w:rsid w:val="00506E31"/>
    <w:rsid w:val="005079B9"/>
    <w:rsid w:val="00516D5C"/>
    <w:rsid w:val="005221EE"/>
    <w:rsid w:val="00522313"/>
    <w:rsid w:val="00524ED0"/>
    <w:rsid w:val="005264A4"/>
    <w:rsid w:val="005267D2"/>
    <w:rsid w:val="005335D8"/>
    <w:rsid w:val="005400FB"/>
    <w:rsid w:val="00541DA6"/>
    <w:rsid w:val="0054240E"/>
    <w:rsid w:val="00542C8B"/>
    <w:rsid w:val="00542F8F"/>
    <w:rsid w:val="00543F2E"/>
    <w:rsid w:val="00545CDA"/>
    <w:rsid w:val="00550098"/>
    <w:rsid w:val="00553C2C"/>
    <w:rsid w:val="00557EF4"/>
    <w:rsid w:val="00563EDA"/>
    <w:rsid w:val="005647D2"/>
    <w:rsid w:val="00566F87"/>
    <w:rsid w:val="0056778C"/>
    <w:rsid w:val="00570B81"/>
    <w:rsid w:val="00574FE8"/>
    <w:rsid w:val="00576679"/>
    <w:rsid w:val="00584FCD"/>
    <w:rsid w:val="0059040D"/>
    <w:rsid w:val="00590535"/>
    <w:rsid w:val="00591603"/>
    <w:rsid w:val="005924DA"/>
    <w:rsid w:val="00593790"/>
    <w:rsid w:val="00595675"/>
    <w:rsid w:val="00596ED6"/>
    <w:rsid w:val="005A0212"/>
    <w:rsid w:val="005A1CB4"/>
    <w:rsid w:val="005A1FA4"/>
    <w:rsid w:val="005A4187"/>
    <w:rsid w:val="005B0BF5"/>
    <w:rsid w:val="005B2D80"/>
    <w:rsid w:val="005B41BA"/>
    <w:rsid w:val="005B4B65"/>
    <w:rsid w:val="005B5234"/>
    <w:rsid w:val="005B5B91"/>
    <w:rsid w:val="005B5EB7"/>
    <w:rsid w:val="005C264D"/>
    <w:rsid w:val="005C3FCB"/>
    <w:rsid w:val="005D08A7"/>
    <w:rsid w:val="005D2C04"/>
    <w:rsid w:val="005D4B69"/>
    <w:rsid w:val="005D7EAA"/>
    <w:rsid w:val="005E0E94"/>
    <w:rsid w:val="005E2C5B"/>
    <w:rsid w:val="005E4B96"/>
    <w:rsid w:val="005E6CE5"/>
    <w:rsid w:val="005F114F"/>
    <w:rsid w:val="005F12C5"/>
    <w:rsid w:val="005F1D19"/>
    <w:rsid w:val="005F2496"/>
    <w:rsid w:val="005F2C6E"/>
    <w:rsid w:val="005F539E"/>
    <w:rsid w:val="005F5DE6"/>
    <w:rsid w:val="005F63B1"/>
    <w:rsid w:val="006021B0"/>
    <w:rsid w:val="00603ED3"/>
    <w:rsid w:val="00607114"/>
    <w:rsid w:val="00610F3A"/>
    <w:rsid w:val="00611BA2"/>
    <w:rsid w:val="00612228"/>
    <w:rsid w:val="00615F73"/>
    <w:rsid w:val="0062140F"/>
    <w:rsid w:val="00621B53"/>
    <w:rsid w:val="00625B99"/>
    <w:rsid w:val="00627A34"/>
    <w:rsid w:val="00627BE5"/>
    <w:rsid w:val="006305C7"/>
    <w:rsid w:val="0063199D"/>
    <w:rsid w:val="00634073"/>
    <w:rsid w:val="00636038"/>
    <w:rsid w:val="00636EED"/>
    <w:rsid w:val="00637491"/>
    <w:rsid w:val="00641797"/>
    <w:rsid w:val="00642ABD"/>
    <w:rsid w:val="00642E00"/>
    <w:rsid w:val="00643532"/>
    <w:rsid w:val="006435AC"/>
    <w:rsid w:val="0064431A"/>
    <w:rsid w:val="00646B3D"/>
    <w:rsid w:val="00647D0E"/>
    <w:rsid w:val="006535D0"/>
    <w:rsid w:val="006538D3"/>
    <w:rsid w:val="00654082"/>
    <w:rsid w:val="0065457F"/>
    <w:rsid w:val="00654980"/>
    <w:rsid w:val="006563F2"/>
    <w:rsid w:val="00656BE7"/>
    <w:rsid w:val="00661E63"/>
    <w:rsid w:val="00662D30"/>
    <w:rsid w:val="006638F8"/>
    <w:rsid w:val="00667029"/>
    <w:rsid w:val="006674B4"/>
    <w:rsid w:val="00667FD9"/>
    <w:rsid w:val="0067461C"/>
    <w:rsid w:val="0067665A"/>
    <w:rsid w:val="0068061B"/>
    <w:rsid w:val="00680649"/>
    <w:rsid w:val="006823CF"/>
    <w:rsid w:val="00691C4F"/>
    <w:rsid w:val="00692938"/>
    <w:rsid w:val="00693A39"/>
    <w:rsid w:val="00694F59"/>
    <w:rsid w:val="00695AA9"/>
    <w:rsid w:val="00695E5D"/>
    <w:rsid w:val="006970C4"/>
    <w:rsid w:val="006971D3"/>
    <w:rsid w:val="0069741C"/>
    <w:rsid w:val="00697F84"/>
    <w:rsid w:val="006A002C"/>
    <w:rsid w:val="006A0C24"/>
    <w:rsid w:val="006A3273"/>
    <w:rsid w:val="006A40E2"/>
    <w:rsid w:val="006A4583"/>
    <w:rsid w:val="006A67AA"/>
    <w:rsid w:val="006A6F5C"/>
    <w:rsid w:val="006A76E4"/>
    <w:rsid w:val="006A79BC"/>
    <w:rsid w:val="006B11C9"/>
    <w:rsid w:val="006B200F"/>
    <w:rsid w:val="006B303D"/>
    <w:rsid w:val="006B3210"/>
    <w:rsid w:val="006B385E"/>
    <w:rsid w:val="006B6AF5"/>
    <w:rsid w:val="006C024E"/>
    <w:rsid w:val="006C0EB5"/>
    <w:rsid w:val="006C102A"/>
    <w:rsid w:val="006C1744"/>
    <w:rsid w:val="006C27B4"/>
    <w:rsid w:val="006C4C12"/>
    <w:rsid w:val="006C5B77"/>
    <w:rsid w:val="006C5C45"/>
    <w:rsid w:val="006C5DEF"/>
    <w:rsid w:val="006C727C"/>
    <w:rsid w:val="006D3058"/>
    <w:rsid w:val="006D4027"/>
    <w:rsid w:val="006D6AA1"/>
    <w:rsid w:val="006D756E"/>
    <w:rsid w:val="006E065B"/>
    <w:rsid w:val="006E1413"/>
    <w:rsid w:val="006E17DD"/>
    <w:rsid w:val="006E2AA4"/>
    <w:rsid w:val="006E3315"/>
    <w:rsid w:val="006E371E"/>
    <w:rsid w:val="006E3869"/>
    <w:rsid w:val="006E6E62"/>
    <w:rsid w:val="006E787F"/>
    <w:rsid w:val="006F29C3"/>
    <w:rsid w:val="006F38A3"/>
    <w:rsid w:val="006F443E"/>
    <w:rsid w:val="006F5487"/>
    <w:rsid w:val="0070006C"/>
    <w:rsid w:val="00700B16"/>
    <w:rsid w:val="00701FC1"/>
    <w:rsid w:val="0070327A"/>
    <w:rsid w:val="00704A93"/>
    <w:rsid w:val="00705129"/>
    <w:rsid w:val="00706DB9"/>
    <w:rsid w:val="00710736"/>
    <w:rsid w:val="00712363"/>
    <w:rsid w:val="0071421B"/>
    <w:rsid w:val="007151C4"/>
    <w:rsid w:val="0071586E"/>
    <w:rsid w:val="00716D6A"/>
    <w:rsid w:val="00721408"/>
    <w:rsid w:val="00724002"/>
    <w:rsid w:val="0072531E"/>
    <w:rsid w:val="00727510"/>
    <w:rsid w:val="007301E7"/>
    <w:rsid w:val="00730749"/>
    <w:rsid w:val="007315E5"/>
    <w:rsid w:val="00731C3A"/>
    <w:rsid w:val="00734413"/>
    <w:rsid w:val="007357D0"/>
    <w:rsid w:val="00736171"/>
    <w:rsid w:val="00736C00"/>
    <w:rsid w:val="007404BA"/>
    <w:rsid w:val="00740D20"/>
    <w:rsid w:val="0074319C"/>
    <w:rsid w:val="007435F0"/>
    <w:rsid w:val="00744F73"/>
    <w:rsid w:val="007466B6"/>
    <w:rsid w:val="007469ED"/>
    <w:rsid w:val="007519BE"/>
    <w:rsid w:val="00752647"/>
    <w:rsid w:val="00753211"/>
    <w:rsid w:val="00754551"/>
    <w:rsid w:val="00754AA0"/>
    <w:rsid w:val="0076195D"/>
    <w:rsid w:val="00762CF4"/>
    <w:rsid w:val="007644DB"/>
    <w:rsid w:val="007651A8"/>
    <w:rsid w:val="00765824"/>
    <w:rsid w:val="00766408"/>
    <w:rsid w:val="007667F7"/>
    <w:rsid w:val="00767C91"/>
    <w:rsid w:val="00770255"/>
    <w:rsid w:val="00772F3C"/>
    <w:rsid w:val="007760E4"/>
    <w:rsid w:val="00777904"/>
    <w:rsid w:val="00780ECE"/>
    <w:rsid w:val="00781424"/>
    <w:rsid w:val="007816EA"/>
    <w:rsid w:val="00781FA3"/>
    <w:rsid w:val="00782CF3"/>
    <w:rsid w:val="007833DF"/>
    <w:rsid w:val="007849D7"/>
    <w:rsid w:val="00784AB5"/>
    <w:rsid w:val="00784D2F"/>
    <w:rsid w:val="00790E05"/>
    <w:rsid w:val="00791867"/>
    <w:rsid w:val="00792CA0"/>
    <w:rsid w:val="00793B61"/>
    <w:rsid w:val="00793D49"/>
    <w:rsid w:val="007943F6"/>
    <w:rsid w:val="00794D4C"/>
    <w:rsid w:val="00795177"/>
    <w:rsid w:val="00796B34"/>
    <w:rsid w:val="00797FA6"/>
    <w:rsid w:val="007A0A77"/>
    <w:rsid w:val="007A3151"/>
    <w:rsid w:val="007A60C4"/>
    <w:rsid w:val="007A7072"/>
    <w:rsid w:val="007A7DD0"/>
    <w:rsid w:val="007B03CD"/>
    <w:rsid w:val="007B10B4"/>
    <w:rsid w:val="007B277F"/>
    <w:rsid w:val="007B6F8F"/>
    <w:rsid w:val="007B76C8"/>
    <w:rsid w:val="007C1F4B"/>
    <w:rsid w:val="007C1FF7"/>
    <w:rsid w:val="007C2460"/>
    <w:rsid w:val="007C2582"/>
    <w:rsid w:val="007C28C0"/>
    <w:rsid w:val="007C2EFD"/>
    <w:rsid w:val="007C5635"/>
    <w:rsid w:val="007C5815"/>
    <w:rsid w:val="007C6731"/>
    <w:rsid w:val="007C6A08"/>
    <w:rsid w:val="007D098B"/>
    <w:rsid w:val="007D0E0B"/>
    <w:rsid w:val="007D0F03"/>
    <w:rsid w:val="007D2313"/>
    <w:rsid w:val="007D48E2"/>
    <w:rsid w:val="007D4ABC"/>
    <w:rsid w:val="007D4BC4"/>
    <w:rsid w:val="007D56E3"/>
    <w:rsid w:val="007D7248"/>
    <w:rsid w:val="007E1085"/>
    <w:rsid w:val="007E36BF"/>
    <w:rsid w:val="007E546B"/>
    <w:rsid w:val="007F149F"/>
    <w:rsid w:val="007F7B08"/>
    <w:rsid w:val="00801933"/>
    <w:rsid w:val="00801C59"/>
    <w:rsid w:val="00806FD8"/>
    <w:rsid w:val="00807F13"/>
    <w:rsid w:val="00810A26"/>
    <w:rsid w:val="00811AF8"/>
    <w:rsid w:val="0081363A"/>
    <w:rsid w:val="00815D5A"/>
    <w:rsid w:val="00816DA3"/>
    <w:rsid w:val="00821D14"/>
    <w:rsid w:val="00822801"/>
    <w:rsid w:val="008234E8"/>
    <w:rsid w:val="00823C68"/>
    <w:rsid w:val="00825B07"/>
    <w:rsid w:val="00826503"/>
    <w:rsid w:val="008310E7"/>
    <w:rsid w:val="008321B4"/>
    <w:rsid w:val="008335C2"/>
    <w:rsid w:val="00833F0F"/>
    <w:rsid w:val="00834AFF"/>
    <w:rsid w:val="00834EC9"/>
    <w:rsid w:val="00835BEF"/>
    <w:rsid w:val="008368B8"/>
    <w:rsid w:val="0084119D"/>
    <w:rsid w:val="00845643"/>
    <w:rsid w:val="00847ED1"/>
    <w:rsid w:val="00853829"/>
    <w:rsid w:val="00855E92"/>
    <w:rsid w:val="00855F42"/>
    <w:rsid w:val="00861CBE"/>
    <w:rsid w:val="0086277E"/>
    <w:rsid w:val="00862AA0"/>
    <w:rsid w:val="008635D6"/>
    <w:rsid w:val="00867BFC"/>
    <w:rsid w:val="00867C43"/>
    <w:rsid w:val="00870B5C"/>
    <w:rsid w:val="0087107C"/>
    <w:rsid w:val="00872331"/>
    <w:rsid w:val="00873186"/>
    <w:rsid w:val="00874A74"/>
    <w:rsid w:val="00874BDB"/>
    <w:rsid w:val="0087550E"/>
    <w:rsid w:val="008763A7"/>
    <w:rsid w:val="00876F36"/>
    <w:rsid w:val="008825C0"/>
    <w:rsid w:val="00883DA2"/>
    <w:rsid w:val="00886E55"/>
    <w:rsid w:val="00886FBD"/>
    <w:rsid w:val="008874CD"/>
    <w:rsid w:val="008879E3"/>
    <w:rsid w:val="008905B5"/>
    <w:rsid w:val="00890B3F"/>
    <w:rsid w:val="0089113A"/>
    <w:rsid w:val="0089295C"/>
    <w:rsid w:val="00894B04"/>
    <w:rsid w:val="00897761"/>
    <w:rsid w:val="008A096B"/>
    <w:rsid w:val="008A1147"/>
    <w:rsid w:val="008A1B8D"/>
    <w:rsid w:val="008A38AB"/>
    <w:rsid w:val="008A3BD3"/>
    <w:rsid w:val="008A423D"/>
    <w:rsid w:val="008A47FF"/>
    <w:rsid w:val="008A5C41"/>
    <w:rsid w:val="008A5F61"/>
    <w:rsid w:val="008A66DC"/>
    <w:rsid w:val="008A71D3"/>
    <w:rsid w:val="008A7A3D"/>
    <w:rsid w:val="008B1CCC"/>
    <w:rsid w:val="008B337E"/>
    <w:rsid w:val="008B4D7A"/>
    <w:rsid w:val="008B6581"/>
    <w:rsid w:val="008B7CD5"/>
    <w:rsid w:val="008C0676"/>
    <w:rsid w:val="008C3373"/>
    <w:rsid w:val="008C45CD"/>
    <w:rsid w:val="008C51F5"/>
    <w:rsid w:val="008C54C7"/>
    <w:rsid w:val="008C6534"/>
    <w:rsid w:val="008D14E4"/>
    <w:rsid w:val="008D2355"/>
    <w:rsid w:val="008D6AEA"/>
    <w:rsid w:val="008D6F17"/>
    <w:rsid w:val="008D74C8"/>
    <w:rsid w:val="008D7582"/>
    <w:rsid w:val="008E069A"/>
    <w:rsid w:val="008E229B"/>
    <w:rsid w:val="008E2EC6"/>
    <w:rsid w:val="008E3050"/>
    <w:rsid w:val="008E35AF"/>
    <w:rsid w:val="008E48FB"/>
    <w:rsid w:val="008E5CEE"/>
    <w:rsid w:val="008F0DE0"/>
    <w:rsid w:val="008F3FEA"/>
    <w:rsid w:val="008F40A6"/>
    <w:rsid w:val="008F44AE"/>
    <w:rsid w:val="008F5204"/>
    <w:rsid w:val="008F5870"/>
    <w:rsid w:val="008F5EE4"/>
    <w:rsid w:val="008F6798"/>
    <w:rsid w:val="008F6C52"/>
    <w:rsid w:val="008F7E46"/>
    <w:rsid w:val="0090336F"/>
    <w:rsid w:val="00904669"/>
    <w:rsid w:val="0090759F"/>
    <w:rsid w:val="00907C38"/>
    <w:rsid w:val="009119AF"/>
    <w:rsid w:val="00911EC4"/>
    <w:rsid w:val="00912BC7"/>
    <w:rsid w:val="00916C0A"/>
    <w:rsid w:val="009178C3"/>
    <w:rsid w:val="00917D75"/>
    <w:rsid w:val="0092150F"/>
    <w:rsid w:val="00922B1E"/>
    <w:rsid w:val="00924270"/>
    <w:rsid w:val="00924899"/>
    <w:rsid w:val="00924EC6"/>
    <w:rsid w:val="0092551A"/>
    <w:rsid w:val="00926E71"/>
    <w:rsid w:val="00927E41"/>
    <w:rsid w:val="00930322"/>
    <w:rsid w:val="00930329"/>
    <w:rsid w:val="00930D0B"/>
    <w:rsid w:val="00931C1A"/>
    <w:rsid w:val="00936499"/>
    <w:rsid w:val="00940652"/>
    <w:rsid w:val="00941588"/>
    <w:rsid w:val="00942923"/>
    <w:rsid w:val="009438DD"/>
    <w:rsid w:val="009445F3"/>
    <w:rsid w:val="009464BA"/>
    <w:rsid w:val="00951929"/>
    <w:rsid w:val="009524C2"/>
    <w:rsid w:val="00954C32"/>
    <w:rsid w:val="00960EC3"/>
    <w:rsid w:val="00961F70"/>
    <w:rsid w:val="0096357F"/>
    <w:rsid w:val="00964DCB"/>
    <w:rsid w:val="00966D34"/>
    <w:rsid w:val="009709EB"/>
    <w:rsid w:val="00970E2E"/>
    <w:rsid w:val="009712B8"/>
    <w:rsid w:val="0097462F"/>
    <w:rsid w:val="00974D44"/>
    <w:rsid w:val="00974EF1"/>
    <w:rsid w:val="009752DC"/>
    <w:rsid w:val="00975DE5"/>
    <w:rsid w:val="0097629A"/>
    <w:rsid w:val="0097793C"/>
    <w:rsid w:val="00977F88"/>
    <w:rsid w:val="009846DA"/>
    <w:rsid w:val="00985404"/>
    <w:rsid w:val="00985A9D"/>
    <w:rsid w:val="00985E8E"/>
    <w:rsid w:val="00986CAC"/>
    <w:rsid w:val="00991001"/>
    <w:rsid w:val="0099254C"/>
    <w:rsid w:val="00993FED"/>
    <w:rsid w:val="009A28E1"/>
    <w:rsid w:val="009A2B5F"/>
    <w:rsid w:val="009A2E37"/>
    <w:rsid w:val="009A3EF1"/>
    <w:rsid w:val="009A70DB"/>
    <w:rsid w:val="009B01E7"/>
    <w:rsid w:val="009B1432"/>
    <w:rsid w:val="009B3D44"/>
    <w:rsid w:val="009B571D"/>
    <w:rsid w:val="009B6AFC"/>
    <w:rsid w:val="009C11B9"/>
    <w:rsid w:val="009C1E94"/>
    <w:rsid w:val="009C3E18"/>
    <w:rsid w:val="009C613C"/>
    <w:rsid w:val="009C66B3"/>
    <w:rsid w:val="009C799A"/>
    <w:rsid w:val="009C7EF8"/>
    <w:rsid w:val="009D104D"/>
    <w:rsid w:val="009D1FEF"/>
    <w:rsid w:val="009D2C79"/>
    <w:rsid w:val="009D5397"/>
    <w:rsid w:val="009D59DA"/>
    <w:rsid w:val="009D5BB9"/>
    <w:rsid w:val="009D5F6E"/>
    <w:rsid w:val="009D7864"/>
    <w:rsid w:val="009D7E38"/>
    <w:rsid w:val="009E12B4"/>
    <w:rsid w:val="009E137A"/>
    <w:rsid w:val="009E19AA"/>
    <w:rsid w:val="009E29A7"/>
    <w:rsid w:val="009E2AF2"/>
    <w:rsid w:val="009E5212"/>
    <w:rsid w:val="009E57F6"/>
    <w:rsid w:val="009E5954"/>
    <w:rsid w:val="009E5DE0"/>
    <w:rsid w:val="009E60A0"/>
    <w:rsid w:val="009F38CB"/>
    <w:rsid w:val="009F6278"/>
    <w:rsid w:val="009F7177"/>
    <w:rsid w:val="009F7E4F"/>
    <w:rsid w:val="00A00235"/>
    <w:rsid w:val="00A00A8C"/>
    <w:rsid w:val="00A028B7"/>
    <w:rsid w:val="00A0543E"/>
    <w:rsid w:val="00A06278"/>
    <w:rsid w:val="00A0675D"/>
    <w:rsid w:val="00A10E1D"/>
    <w:rsid w:val="00A12716"/>
    <w:rsid w:val="00A1336A"/>
    <w:rsid w:val="00A1467B"/>
    <w:rsid w:val="00A2048A"/>
    <w:rsid w:val="00A23737"/>
    <w:rsid w:val="00A24984"/>
    <w:rsid w:val="00A26F87"/>
    <w:rsid w:val="00A275ED"/>
    <w:rsid w:val="00A277BC"/>
    <w:rsid w:val="00A300CF"/>
    <w:rsid w:val="00A33ACA"/>
    <w:rsid w:val="00A35280"/>
    <w:rsid w:val="00A354E1"/>
    <w:rsid w:val="00A35AC9"/>
    <w:rsid w:val="00A367E0"/>
    <w:rsid w:val="00A42498"/>
    <w:rsid w:val="00A46DB9"/>
    <w:rsid w:val="00A46E79"/>
    <w:rsid w:val="00A47BF9"/>
    <w:rsid w:val="00A55300"/>
    <w:rsid w:val="00A57E12"/>
    <w:rsid w:val="00A603FE"/>
    <w:rsid w:val="00A60A98"/>
    <w:rsid w:val="00A61760"/>
    <w:rsid w:val="00A649F2"/>
    <w:rsid w:val="00A65987"/>
    <w:rsid w:val="00A6623E"/>
    <w:rsid w:val="00A701AB"/>
    <w:rsid w:val="00A701B9"/>
    <w:rsid w:val="00A703BA"/>
    <w:rsid w:val="00A70B20"/>
    <w:rsid w:val="00A70C3A"/>
    <w:rsid w:val="00A71BB7"/>
    <w:rsid w:val="00A71E6D"/>
    <w:rsid w:val="00A7335A"/>
    <w:rsid w:val="00A735E7"/>
    <w:rsid w:val="00A7405E"/>
    <w:rsid w:val="00A74D76"/>
    <w:rsid w:val="00A75197"/>
    <w:rsid w:val="00A76C23"/>
    <w:rsid w:val="00A803BB"/>
    <w:rsid w:val="00A81A33"/>
    <w:rsid w:val="00A87440"/>
    <w:rsid w:val="00A93029"/>
    <w:rsid w:val="00A93C13"/>
    <w:rsid w:val="00A940AD"/>
    <w:rsid w:val="00A948F9"/>
    <w:rsid w:val="00A95384"/>
    <w:rsid w:val="00A95BA0"/>
    <w:rsid w:val="00A97A21"/>
    <w:rsid w:val="00A97E74"/>
    <w:rsid w:val="00AA0A56"/>
    <w:rsid w:val="00AA1680"/>
    <w:rsid w:val="00AA1CC1"/>
    <w:rsid w:val="00AA5424"/>
    <w:rsid w:val="00AA5D0A"/>
    <w:rsid w:val="00AA7FA4"/>
    <w:rsid w:val="00AB079B"/>
    <w:rsid w:val="00AB3ED0"/>
    <w:rsid w:val="00AB3F48"/>
    <w:rsid w:val="00AB585D"/>
    <w:rsid w:val="00AB67DE"/>
    <w:rsid w:val="00AB6D35"/>
    <w:rsid w:val="00AC113F"/>
    <w:rsid w:val="00AC13AC"/>
    <w:rsid w:val="00AC1518"/>
    <w:rsid w:val="00AC2C53"/>
    <w:rsid w:val="00AC4838"/>
    <w:rsid w:val="00AC6979"/>
    <w:rsid w:val="00AD1EA2"/>
    <w:rsid w:val="00AD224B"/>
    <w:rsid w:val="00AD416D"/>
    <w:rsid w:val="00AD4280"/>
    <w:rsid w:val="00AD554C"/>
    <w:rsid w:val="00AD5F06"/>
    <w:rsid w:val="00AD6B44"/>
    <w:rsid w:val="00AD7708"/>
    <w:rsid w:val="00AE016A"/>
    <w:rsid w:val="00AE06E8"/>
    <w:rsid w:val="00AE2DC7"/>
    <w:rsid w:val="00AE34FC"/>
    <w:rsid w:val="00AE46A7"/>
    <w:rsid w:val="00AE4AB3"/>
    <w:rsid w:val="00AE5CFF"/>
    <w:rsid w:val="00AE704A"/>
    <w:rsid w:val="00AF08C0"/>
    <w:rsid w:val="00AF0D05"/>
    <w:rsid w:val="00AF0F07"/>
    <w:rsid w:val="00AF41AF"/>
    <w:rsid w:val="00AF4F9A"/>
    <w:rsid w:val="00AF6544"/>
    <w:rsid w:val="00AF6F9F"/>
    <w:rsid w:val="00B00DEF"/>
    <w:rsid w:val="00B0153F"/>
    <w:rsid w:val="00B02665"/>
    <w:rsid w:val="00B051B2"/>
    <w:rsid w:val="00B06D8C"/>
    <w:rsid w:val="00B06EB1"/>
    <w:rsid w:val="00B1318F"/>
    <w:rsid w:val="00B15259"/>
    <w:rsid w:val="00B15A12"/>
    <w:rsid w:val="00B16A97"/>
    <w:rsid w:val="00B16D6D"/>
    <w:rsid w:val="00B175E7"/>
    <w:rsid w:val="00B23989"/>
    <w:rsid w:val="00B24185"/>
    <w:rsid w:val="00B247EA"/>
    <w:rsid w:val="00B27CAC"/>
    <w:rsid w:val="00B301A2"/>
    <w:rsid w:val="00B3091B"/>
    <w:rsid w:val="00B321C9"/>
    <w:rsid w:val="00B32731"/>
    <w:rsid w:val="00B32B02"/>
    <w:rsid w:val="00B344FF"/>
    <w:rsid w:val="00B356F3"/>
    <w:rsid w:val="00B35FAA"/>
    <w:rsid w:val="00B40B83"/>
    <w:rsid w:val="00B41F1B"/>
    <w:rsid w:val="00B43EFF"/>
    <w:rsid w:val="00B44298"/>
    <w:rsid w:val="00B45CB8"/>
    <w:rsid w:val="00B45D62"/>
    <w:rsid w:val="00B510E2"/>
    <w:rsid w:val="00B5365B"/>
    <w:rsid w:val="00B56E81"/>
    <w:rsid w:val="00B57538"/>
    <w:rsid w:val="00B576F7"/>
    <w:rsid w:val="00B605FA"/>
    <w:rsid w:val="00B61EAB"/>
    <w:rsid w:val="00B62E82"/>
    <w:rsid w:val="00B63CB9"/>
    <w:rsid w:val="00B63DE5"/>
    <w:rsid w:val="00B67670"/>
    <w:rsid w:val="00B6769B"/>
    <w:rsid w:val="00B67B9C"/>
    <w:rsid w:val="00B70B49"/>
    <w:rsid w:val="00B70E52"/>
    <w:rsid w:val="00B712F8"/>
    <w:rsid w:val="00B7161A"/>
    <w:rsid w:val="00B776C4"/>
    <w:rsid w:val="00B8138E"/>
    <w:rsid w:val="00B84364"/>
    <w:rsid w:val="00B84A89"/>
    <w:rsid w:val="00B871E5"/>
    <w:rsid w:val="00B91205"/>
    <w:rsid w:val="00B919CA"/>
    <w:rsid w:val="00B91BB0"/>
    <w:rsid w:val="00B931B7"/>
    <w:rsid w:val="00B93968"/>
    <w:rsid w:val="00BA0AB7"/>
    <w:rsid w:val="00BA1818"/>
    <w:rsid w:val="00BB1139"/>
    <w:rsid w:val="00BB4F1A"/>
    <w:rsid w:val="00BB5063"/>
    <w:rsid w:val="00BB5AA6"/>
    <w:rsid w:val="00BB6276"/>
    <w:rsid w:val="00BB666A"/>
    <w:rsid w:val="00BB676D"/>
    <w:rsid w:val="00BB67D0"/>
    <w:rsid w:val="00BC2147"/>
    <w:rsid w:val="00BC2909"/>
    <w:rsid w:val="00BC2D31"/>
    <w:rsid w:val="00BC348A"/>
    <w:rsid w:val="00BC56C8"/>
    <w:rsid w:val="00BC6583"/>
    <w:rsid w:val="00BC7821"/>
    <w:rsid w:val="00BD4480"/>
    <w:rsid w:val="00BD7AEC"/>
    <w:rsid w:val="00BD7FDF"/>
    <w:rsid w:val="00BE0EC6"/>
    <w:rsid w:val="00BE212B"/>
    <w:rsid w:val="00BE25E0"/>
    <w:rsid w:val="00BE6ED4"/>
    <w:rsid w:val="00BE6F56"/>
    <w:rsid w:val="00BF0E66"/>
    <w:rsid w:val="00BF0F65"/>
    <w:rsid w:val="00BF11E2"/>
    <w:rsid w:val="00BF3CC0"/>
    <w:rsid w:val="00BF4591"/>
    <w:rsid w:val="00BF6028"/>
    <w:rsid w:val="00BF65B9"/>
    <w:rsid w:val="00BF6F9C"/>
    <w:rsid w:val="00BF7A81"/>
    <w:rsid w:val="00C026C1"/>
    <w:rsid w:val="00C04695"/>
    <w:rsid w:val="00C04CF1"/>
    <w:rsid w:val="00C05C5C"/>
    <w:rsid w:val="00C07838"/>
    <w:rsid w:val="00C07D72"/>
    <w:rsid w:val="00C10A70"/>
    <w:rsid w:val="00C10E3B"/>
    <w:rsid w:val="00C13FB5"/>
    <w:rsid w:val="00C15782"/>
    <w:rsid w:val="00C16C00"/>
    <w:rsid w:val="00C16F6C"/>
    <w:rsid w:val="00C200A5"/>
    <w:rsid w:val="00C212C1"/>
    <w:rsid w:val="00C21AD4"/>
    <w:rsid w:val="00C22025"/>
    <w:rsid w:val="00C23069"/>
    <w:rsid w:val="00C272D1"/>
    <w:rsid w:val="00C27B11"/>
    <w:rsid w:val="00C32013"/>
    <w:rsid w:val="00C32AA4"/>
    <w:rsid w:val="00C343B8"/>
    <w:rsid w:val="00C35078"/>
    <w:rsid w:val="00C37225"/>
    <w:rsid w:val="00C403C4"/>
    <w:rsid w:val="00C442AE"/>
    <w:rsid w:val="00C46363"/>
    <w:rsid w:val="00C46C6D"/>
    <w:rsid w:val="00C506FC"/>
    <w:rsid w:val="00C519C5"/>
    <w:rsid w:val="00C5224F"/>
    <w:rsid w:val="00C52A5B"/>
    <w:rsid w:val="00C53F3F"/>
    <w:rsid w:val="00C541DB"/>
    <w:rsid w:val="00C57470"/>
    <w:rsid w:val="00C57BC7"/>
    <w:rsid w:val="00C635E8"/>
    <w:rsid w:val="00C64FB5"/>
    <w:rsid w:val="00C654A6"/>
    <w:rsid w:val="00C66E43"/>
    <w:rsid w:val="00C67FE8"/>
    <w:rsid w:val="00C71692"/>
    <w:rsid w:val="00C74930"/>
    <w:rsid w:val="00C76596"/>
    <w:rsid w:val="00C7786E"/>
    <w:rsid w:val="00C77C25"/>
    <w:rsid w:val="00C808F7"/>
    <w:rsid w:val="00C8164F"/>
    <w:rsid w:val="00C82271"/>
    <w:rsid w:val="00C8284A"/>
    <w:rsid w:val="00C830C7"/>
    <w:rsid w:val="00C83310"/>
    <w:rsid w:val="00C851B5"/>
    <w:rsid w:val="00C87D43"/>
    <w:rsid w:val="00C90850"/>
    <w:rsid w:val="00C90F28"/>
    <w:rsid w:val="00C9196B"/>
    <w:rsid w:val="00C91DBC"/>
    <w:rsid w:val="00C92639"/>
    <w:rsid w:val="00C935DD"/>
    <w:rsid w:val="00C93801"/>
    <w:rsid w:val="00C959FE"/>
    <w:rsid w:val="00C964B5"/>
    <w:rsid w:val="00C967DD"/>
    <w:rsid w:val="00C967E5"/>
    <w:rsid w:val="00C96B62"/>
    <w:rsid w:val="00C979C4"/>
    <w:rsid w:val="00CA0BC5"/>
    <w:rsid w:val="00CA2284"/>
    <w:rsid w:val="00CA4E23"/>
    <w:rsid w:val="00CA5145"/>
    <w:rsid w:val="00CA5954"/>
    <w:rsid w:val="00CB001D"/>
    <w:rsid w:val="00CB06E3"/>
    <w:rsid w:val="00CB13A3"/>
    <w:rsid w:val="00CB1698"/>
    <w:rsid w:val="00CB2B2F"/>
    <w:rsid w:val="00CB63D6"/>
    <w:rsid w:val="00CB6620"/>
    <w:rsid w:val="00CB6CD9"/>
    <w:rsid w:val="00CB701F"/>
    <w:rsid w:val="00CB7AB3"/>
    <w:rsid w:val="00CC1C4D"/>
    <w:rsid w:val="00CC2FD6"/>
    <w:rsid w:val="00CC3804"/>
    <w:rsid w:val="00CC39CD"/>
    <w:rsid w:val="00CC3F30"/>
    <w:rsid w:val="00CC4C83"/>
    <w:rsid w:val="00CD11EE"/>
    <w:rsid w:val="00CD15E2"/>
    <w:rsid w:val="00CD440D"/>
    <w:rsid w:val="00CD588E"/>
    <w:rsid w:val="00CD5E25"/>
    <w:rsid w:val="00CD7A1A"/>
    <w:rsid w:val="00CE0571"/>
    <w:rsid w:val="00CE0F39"/>
    <w:rsid w:val="00CE435F"/>
    <w:rsid w:val="00CE7AFD"/>
    <w:rsid w:val="00CF0506"/>
    <w:rsid w:val="00CF093F"/>
    <w:rsid w:val="00CF1B73"/>
    <w:rsid w:val="00CF2BDA"/>
    <w:rsid w:val="00CF3328"/>
    <w:rsid w:val="00CF38B5"/>
    <w:rsid w:val="00CF4537"/>
    <w:rsid w:val="00CF56C9"/>
    <w:rsid w:val="00CF600B"/>
    <w:rsid w:val="00D01198"/>
    <w:rsid w:val="00D03C50"/>
    <w:rsid w:val="00D03ED5"/>
    <w:rsid w:val="00D0501B"/>
    <w:rsid w:val="00D074ED"/>
    <w:rsid w:val="00D104B3"/>
    <w:rsid w:val="00D10C07"/>
    <w:rsid w:val="00D10EE0"/>
    <w:rsid w:val="00D11B97"/>
    <w:rsid w:val="00D11DB1"/>
    <w:rsid w:val="00D15522"/>
    <w:rsid w:val="00D15871"/>
    <w:rsid w:val="00D16717"/>
    <w:rsid w:val="00D233C6"/>
    <w:rsid w:val="00D23536"/>
    <w:rsid w:val="00D23E3C"/>
    <w:rsid w:val="00D24267"/>
    <w:rsid w:val="00D259C3"/>
    <w:rsid w:val="00D25B7A"/>
    <w:rsid w:val="00D32C6E"/>
    <w:rsid w:val="00D3490A"/>
    <w:rsid w:val="00D34E2B"/>
    <w:rsid w:val="00D3735C"/>
    <w:rsid w:val="00D37831"/>
    <w:rsid w:val="00D379B5"/>
    <w:rsid w:val="00D37D72"/>
    <w:rsid w:val="00D4039B"/>
    <w:rsid w:val="00D41742"/>
    <w:rsid w:val="00D4322D"/>
    <w:rsid w:val="00D4480F"/>
    <w:rsid w:val="00D45C33"/>
    <w:rsid w:val="00D46735"/>
    <w:rsid w:val="00D467BD"/>
    <w:rsid w:val="00D500B4"/>
    <w:rsid w:val="00D507D3"/>
    <w:rsid w:val="00D518D3"/>
    <w:rsid w:val="00D51ADD"/>
    <w:rsid w:val="00D51D9E"/>
    <w:rsid w:val="00D55B27"/>
    <w:rsid w:val="00D56BA1"/>
    <w:rsid w:val="00D60711"/>
    <w:rsid w:val="00D60D6D"/>
    <w:rsid w:val="00D617A3"/>
    <w:rsid w:val="00D628C0"/>
    <w:rsid w:val="00D63F2E"/>
    <w:rsid w:val="00D64DE0"/>
    <w:rsid w:val="00D6641B"/>
    <w:rsid w:val="00D67865"/>
    <w:rsid w:val="00D707E7"/>
    <w:rsid w:val="00D733C3"/>
    <w:rsid w:val="00D73D98"/>
    <w:rsid w:val="00D7516A"/>
    <w:rsid w:val="00D7573C"/>
    <w:rsid w:val="00D774CA"/>
    <w:rsid w:val="00D77EE6"/>
    <w:rsid w:val="00D81558"/>
    <w:rsid w:val="00D8185E"/>
    <w:rsid w:val="00D8255D"/>
    <w:rsid w:val="00D82B83"/>
    <w:rsid w:val="00D863BD"/>
    <w:rsid w:val="00D903F5"/>
    <w:rsid w:val="00D927F9"/>
    <w:rsid w:val="00D928A6"/>
    <w:rsid w:val="00D92D58"/>
    <w:rsid w:val="00D942AB"/>
    <w:rsid w:val="00D943BF"/>
    <w:rsid w:val="00D94A23"/>
    <w:rsid w:val="00DA059A"/>
    <w:rsid w:val="00DA0DB3"/>
    <w:rsid w:val="00DA2089"/>
    <w:rsid w:val="00DA303D"/>
    <w:rsid w:val="00DA3BB3"/>
    <w:rsid w:val="00DA6DC7"/>
    <w:rsid w:val="00DA77A9"/>
    <w:rsid w:val="00DB12DD"/>
    <w:rsid w:val="00DB5286"/>
    <w:rsid w:val="00DB7378"/>
    <w:rsid w:val="00DB7708"/>
    <w:rsid w:val="00DB7841"/>
    <w:rsid w:val="00DB78A2"/>
    <w:rsid w:val="00DC0C89"/>
    <w:rsid w:val="00DC2070"/>
    <w:rsid w:val="00DC261D"/>
    <w:rsid w:val="00DC2868"/>
    <w:rsid w:val="00DC53DC"/>
    <w:rsid w:val="00DC55B9"/>
    <w:rsid w:val="00DC5EAD"/>
    <w:rsid w:val="00DC6895"/>
    <w:rsid w:val="00DD2730"/>
    <w:rsid w:val="00DD3176"/>
    <w:rsid w:val="00DD4D98"/>
    <w:rsid w:val="00DD5985"/>
    <w:rsid w:val="00DE1237"/>
    <w:rsid w:val="00DE1EF4"/>
    <w:rsid w:val="00DE23B4"/>
    <w:rsid w:val="00DE3ED2"/>
    <w:rsid w:val="00DE4BED"/>
    <w:rsid w:val="00DE4F72"/>
    <w:rsid w:val="00DE5FF9"/>
    <w:rsid w:val="00DE60A5"/>
    <w:rsid w:val="00DE76AF"/>
    <w:rsid w:val="00DF35A1"/>
    <w:rsid w:val="00DF5D04"/>
    <w:rsid w:val="00E0060F"/>
    <w:rsid w:val="00E02161"/>
    <w:rsid w:val="00E02624"/>
    <w:rsid w:val="00E03DC1"/>
    <w:rsid w:val="00E040AD"/>
    <w:rsid w:val="00E04329"/>
    <w:rsid w:val="00E10E53"/>
    <w:rsid w:val="00E118E3"/>
    <w:rsid w:val="00E126DD"/>
    <w:rsid w:val="00E138D7"/>
    <w:rsid w:val="00E14AED"/>
    <w:rsid w:val="00E17EE9"/>
    <w:rsid w:val="00E23A02"/>
    <w:rsid w:val="00E248BD"/>
    <w:rsid w:val="00E27B9A"/>
    <w:rsid w:val="00E32808"/>
    <w:rsid w:val="00E32B7B"/>
    <w:rsid w:val="00E33A5B"/>
    <w:rsid w:val="00E37F83"/>
    <w:rsid w:val="00E41A28"/>
    <w:rsid w:val="00E41FDE"/>
    <w:rsid w:val="00E427EB"/>
    <w:rsid w:val="00E4306B"/>
    <w:rsid w:val="00E437E0"/>
    <w:rsid w:val="00E468A7"/>
    <w:rsid w:val="00E54A1F"/>
    <w:rsid w:val="00E572D9"/>
    <w:rsid w:val="00E57DD1"/>
    <w:rsid w:val="00E605DC"/>
    <w:rsid w:val="00E606B1"/>
    <w:rsid w:val="00E61ABC"/>
    <w:rsid w:val="00E62066"/>
    <w:rsid w:val="00E622E4"/>
    <w:rsid w:val="00E633AF"/>
    <w:rsid w:val="00E634BC"/>
    <w:rsid w:val="00E65CF6"/>
    <w:rsid w:val="00E67357"/>
    <w:rsid w:val="00E67871"/>
    <w:rsid w:val="00E72EAF"/>
    <w:rsid w:val="00E74E5B"/>
    <w:rsid w:val="00E7547B"/>
    <w:rsid w:val="00E802C6"/>
    <w:rsid w:val="00E80906"/>
    <w:rsid w:val="00E82A1A"/>
    <w:rsid w:val="00E82D09"/>
    <w:rsid w:val="00E83D23"/>
    <w:rsid w:val="00E84AD5"/>
    <w:rsid w:val="00E86A68"/>
    <w:rsid w:val="00E87A06"/>
    <w:rsid w:val="00E91EBE"/>
    <w:rsid w:val="00E92251"/>
    <w:rsid w:val="00E937D0"/>
    <w:rsid w:val="00E9587B"/>
    <w:rsid w:val="00EA30B9"/>
    <w:rsid w:val="00EA33A5"/>
    <w:rsid w:val="00EA53AF"/>
    <w:rsid w:val="00EA5DA2"/>
    <w:rsid w:val="00EA6A51"/>
    <w:rsid w:val="00EB00A7"/>
    <w:rsid w:val="00EB0D1C"/>
    <w:rsid w:val="00EB21F8"/>
    <w:rsid w:val="00EB38D6"/>
    <w:rsid w:val="00EB5092"/>
    <w:rsid w:val="00EB5F6B"/>
    <w:rsid w:val="00EB6982"/>
    <w:rsid w:val="00EC03C1"/>
    <w:rsid w:val="00EC07BD"/>
    <w:rsid w:val="00EC15B8"/>
    <w:rsid w:val="00EC3449"/>
    <w:rsid w:val="00EC40FE"/>
    <w:rsid w:val="00EC42FD"/>
    <w:rsid w:val="00EC45F4"/>
    <w:rsid w:val="00EC4AEA"/>
    <w:rsid w:val="00EC5699"/>
    <w:rsid w:val="00EC6F5E"/>
    <w:rsid w:val="00EC7B97"/>
    <w:rsid w:val="00ED149E"/>
    <w:rsid w:val="00ED21FC"/>
    <w:rsid w:val="00ED2BBD"/>
    <w:rsid w:val="00ED3A10"/>
    <w:rsid w:val="00ED445D"/>
    <w:rsid w:val="00ED6CD0"/>
    <w:rsid w:val="00ED7AFF"/>
    <w:rsid w:val="00EE1E69"/>
    <w:rsid w:val="00EE4944"/>
    <w:rsid w:val="00EF4BB3"/>
    <w:rsid w:val="00F00A66"/>
    <w:rsid w:val="00F012C6"/>
    <w:rsid w:val="00F01ECD"/>
    <w:rsid w:val="00F03075"/>
    <w:rsid w:val="00F03583"/>
    <w:rsid w:val="00F058DF"/>
    <w:rsid w:val="00F0680A"/>
    <w:rsid w:val="00F07ED1"/>
    <w:rsid w:val="00F10E8C"/>
    <w:rsid w:val="00F12247"/>
    <w:rsid w:val="00F1308E"/>
    <w:rsid w:val="00F14048"/>
    <w:rsid w:val="00F14E1A"/>
    <w:rsid w:val="00F174DB"/>
    <w:rsid w:val="00F207D4"/>
    <w:rsid w:val="00F2165A"/>
    <w:rsid w:val="00F22768"/>
    <w:rsid w:val="00F26CB8"/>
    <w:rsid w:val="00F26E26"/>
    <w:rsid w:val="00F27AA5"/>
    <w:rsid w:val="00F31ACF"/>
    <w:rsid w:val="00F321E7"/>
    <w:rsid w:val="00F35A0F"/>
    <w:rsid w:val="00F37DBC"/>
    <w:rsid w:val="00F4347A"/>
    <w:rsid w:val="00F4403D"/>
    <w:rsid w:val="00F44337"/>
    <w:rsid w:val="00F4592E"/>
    <w:rsid w:val="00F472B7"/>
    <w:rsid w:val="00F52D60"/>
    <w:rsid w:val="00F530E1"/>
    <w:rsid w:val="00F55C69"/>
    <w:rsid w:val="00F56EC1"/>
    <w:rsid w:val="00F57AD5"/>
    <w:rsid w:val="00F609C1"/>
    <w:rsid w:val="00F620D2"/>
    <w:rsid w:val="00F625D7"/>
    <w:rsid w:val="00F62E6D"/>
    <w:rsid w:val="00F635A6"/>
    <w:rsid w:val="00F63726"/>
    <w:rsid w:val="00F63DE4"/>
    <w:rsid w:val="00F67D95"/>
    <w:rsid w:val="00F7171E"/>
    <w:rsid w:val="00F71F92"/>
    <w:rsid w:val="00F7344F"/>
    <w:rsid w:val="00F75513"/>
    <w:rsid w:val="00F76DC3"/>
    <w:rsid w:val="00F779CF"/>
    <w:rsid w:val="00F80CD4"/>
    <w:rsid w:val="00F80D31"/>
    <w:rsid w:val="00F814EC"/>
    <w:rsid w:val="00F81684"/>
    <w:rsid w:val="00F819B0"/>
    <w:rsid w:val="00F85201"/>
    <w:rsid w:val="00F85241"/>
    <w:rsid w:val="00F87E50"/>
    <w:rsid w:val="00F919B9"/>
    <w:rsid w:val="00F9549D"/>
    <w:rsid w:val="00F954EE"/>
    <w:rsid w:val="00FA0BDF"/>
    <w:rsid w:val="00FA3858"/>
    <w:rsid w:val="00FA3AB6"/>
    <w:rsid w:val="00FA51D7"/>
    <w:rsid w:val="00FA5271"/>
    <w:rsid w:val="00FA6164"/>
    <w:rsid w:val="00FB0DA8"/>
    <w:rsid w:val="00FB127B"/>
    <w:rsid w:val="00FB28F1"/>
    <w:rsid w:val="00FB52BC"/>
    <w:rsid w:val="00FB580A"/>
    <w:rsid w:val="00FB780A"/>
    <w:rsid w:val="00FB7C82"/>
    <w:rsid w:val="00FC0076"/>
    <w:rsid w:val="00FC14EE"/>
    <w:rsid w:val="00FC1A1C"/>
    <w:rsid w:val="00FC702F"/>
    <w:rsid w:val="00FD2065"/>
    <w:rsid w:val="00FD27A0"/>
    <w:rsid w:val="00FD3870"/>
    <w:rsid w:val="00FE0049"/>
    <w:rsid w:val="00FE07B4"/>
    <w:rsid w:val="00FE262E"/>
    <w:rsid w:val="00FE27A6"/>
    <w:rsid w:val="00FE36D6"/>
    <w:rsid w:val="00FE6F92"/>
    <w:rsid w:val="00FF0451"/>
    <w:rsid w:val="00FF143E"/>
    <w:rsid w:val="00FF2397"/>
    <w:rsid w:val="00FF29A9"/>
    <w:rsid w:val="00FF3D42"/>
    <w:rsid w:val="00FF4996"/>
    <w:rsid w:val="00FF4E13"/>
    <w:rsid w:val="00FF53AC"/>
    <w:rsid w:val="00FF6360"/>
    <w:rsid w:val="00FF6C98"/>
    <w:rsid w:val="01482E86"/>
    <w:rsid w:val="0791D047"/>
    <w:rsid w:val="08178267"/>
    <w:rsid w:val="0883C512"/>
    <w:rsid w:val="0AD78B6F"/>
    <w:rsid w:val="0E75250B"/>
    <w:rsid w:val="0EF70D2C"/>
    <w:rsid w:val="1298339A"/>
    <w:rsid w:val="14F9DD3D"/>
    <w:rsid w:val="160E576E"/>
    <w:rsid w:val="1699C89C"/>
    <w:rsid w:val="1A4181B6"/>
    <w:rsid w:val="1DD58234"/>
    <w:rsid w:val="21342CB8"/>
    <w:rsid w:val="21893091"/>
    <w:rsid w:val="2773C8FD"/>
    <w:rsid w:val="27C91F18"/>
    <w:rsid w:val="28430478"/>
    <w:rsid w:val="29AAEDC7"/>
    <w:rsid w:val="2B9AC099"/>
    <w:rsid w:val="2C3B8774"/>
    <w:rsid w:val="2CCC0428"/>
    <w:rsid w:val="2E754152"/>
    <w:rsid w:val="2FC8EEB5"/>
    <w:rsid w:val="3098970C"/>
    <w:rsid w:val="30A32AFE"/>
    <w:rsid w:val="354B0761"/>
    <w:rsid w:val="364A9D91"/>
    <w:rsid w:val="3869270F"/>
    <w:rsid w:val="38CC3B3C"/>
    <w:rsid w:val="38EBBD91"/>
    <w:rsid w:val="394896D7"/>
    <w:rsid w:val="39D48BC0"/>
    <w:rsid w:val="3DB0650F"/>
    <w:rsid w:val="438C3A8F"/>
    <w:rsid w:val="44A358AA"/>
    <w:rsid w:val="44BF603E"/>
    <w:rsid w:val="4517368C"/>
    <w:rsid w:val="4631266B"/>
    <w:rsid w:val="463277D1"/>
    <w:rsid w:val="467F66BB"/>
    <w:rsid w:val="478A7B67"/>
    <w:rsid w:val="48956A0A"/>
    <w:rsid w:val="48B9B47F"/>
    <w:rsid w:val="48D505FA"/>
    <w:rsid w:val="4AB20C34"/>
    <w:rsid w:val="4EAD9EBC"/>
    <w:rsid w:val="4EF265E7"/>
    <w:rsid w:val="51D08DCA"/>
    <w:rsid w:val="53FCD775"/>
    <w:rsid w:val="5520ECCD"/>
    <w:rsid w:val="5808DB19"/>
    <w:rsid w:val="5995F858"/>
    <w:rsid w:val="59E03B1E"/>
    <w:rsid w:val="5A6FE825"/>
    <w:rsid w:val="5A851A44"/>
    <w:rsid w:val="5B2E2F6C"/>
    <w:rsid w:val="5C7D9C9B"/>
    <w:rsid w:val="5E4EEE11"/>
    <w:rsid w:val="606D41EE"/>
    <w:rsid w:val="6425813F"/>
    <w:rsid w:val="65CC8184"/>
    <w:rsid w:val="681BEAEF"/>
    <w:rsid w:val="68FF66A6"/>
    <w:rsid w:val="6B7B7470"/>
    <w:rsid w:val="6DDC94BF"/>
    <w:rsid w:val="705FC3B8"/>
    <w:rsid w:val="73DF460C"/>
    <w:rsid w:val="7446B672"/>
    <w:rsid w:val="766AA971"/>
    <w:rsid w:val="769CA023"/>
    <w:rsid w:val="7806869E"/>
    <w:rsid w:val="78EC0260"/>
    <w:rsid w:val="79176411"/>
    <w:rsid w:val="79F307FC"/>
    <w:rsid w:val="7A51CA77"/>
    <w:rsid w:val="7AC99768"/>
    <w:rsid w:val="7AF18545"/>
    <w:rsid w:val="7B8680B1"/>
    <w:rsid w:val="7D2677F6"/>
    <w:rsid w:val="7DB2BDFF"/>
    <w:rsid w:val="7ED3199B"/>
    <w:rsid w:val="7FCAFF15"/>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7C786"/>
  <w15:chartTrackingRefBased/>
  <w15:docId w15:val="{9019C34A-DA56-4811-BAF4-2658BD54C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5E8"/>
    <w:rPr>
      <w:rFonts w:ascii="Arial" w:hAnsi="Arial" w:cs="Arial"/>
      <w:sz w:val="22"/>
      <w:szCs w:val="22"/>
      <w:lang w:val="en-GB"/>
    </w:rPr>
  </w:style>
  <w:style w:type="paragraph" w:styleId="Heading1">
    <w:name w:val="heading 1"/>
    <w:basedOn w:val="Normal"/>
    <w:next w:val="Normal"/>
    <w:link w:val="Heading1Char"/>
    <w:uiPriority w:val="9"/>
    <w:qFormat/>
    <w:rsid w:val="008321B4"/>
    <w:pPr>
      <w:spacing w:before="360" w:after="120" w:line="360" w:lineRule="auto"/>
      <w:outlineLvl w:val="0"/>
    </w:pPr>
    <w:rPr>
      <w:rFonts w:eastAsia="Arial" w:cs="Times New Roman"/>
      <w:b/>
      <w:caps/>
      <w:color w:val="70ADA3"/>
      <w:kern w:val="0"/>
      <w:sz w:val="24"/>
      <w14:ligatures w14:val="none"/>
    </w:rPr>
  </w:style>
  <w:style w:type="paragraph" w:styleId="Heading2">
    <w:name w:val="heading 2"/>
    <w:basedOn w:val="Normal"/>
    <w:next w:val="Normal"/>
    <w:link w:val="Heading2Char"/>
    <w:uiPriority w:val="9"/>
    <w:unhideWhenUsed/>
    <w:qFormat/>
    <w:rsid w:val="008321B4"/>
    <w:pPr>
      <w:tabs>
        <w:tab w:val="left" w:pos="2990"/>
      </w:tabs>
      <w:spacing w:before="360" w:after="120" w:line="360" w:lineRule="auto"/>
      <w:outlineLvl w:val="1"/>
    </w:pPr>
    <w:rPr>
      <w:rFonts w:eastAsia="Arial" w:cs="Times New Roman"/>
      <w:caps/>
      <w:color w:val="70ADA3"/>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1F73"/>
    <w:pPr>
      <w:ind w:left="720"/>
      <w:contextualSpacing/>
    </w:pPr>
  </w:style>
  <w:style w:type="paragraph" w:styleId="Revision">
    <w:name w:val="Revision"/>
    <w:hidden/>
    <w:uiPriority w:val="99"/>
    <w:semiHidden/>
    <w:rsid w:val="002F20E6"/>
    <w:rPr>
      <w:lang w:val="en-GB"/>
    </w:rPr>
  </w:style>
  <w:style w:type="character" w:styleId="CommentReference">
    <w:name w:val="annotation reference"/>
    <w:basedOn w:val="DefaultParagraphFont"/>
    <w:uiPriority w:val="99"/>
    <w:semiHidden/>
    <w:unhideWhenUsed/>
    <w:rsid w:val="002F20E6"/>
    <w:rPr>
      <w:sz w:val="16"/>
      <w:szCs w:val="16"/>
    </w:rPr>
  </w:style>
  <w:style w:type="paragraph" w:styleId="CommentText">
    <w:name w:val="annotation text"/>
    <w:basedOn w:val="Normal"/>
    <w:link w:val="CommentTextChar"/>
    <w:uiPriority w:val="99"/>
    <w:unhideWhenUsed/>
    <w:rsid w:val="002F20E6"/>
    <w:rPr>
      <w:sz w:val="20"/>
      <w:szCs w:val="20"/>
    </w:rPr>
  </w:style>
  <w:style w:type="character" w:customStyle="1" w:styleId="CommentTextChar">
    <w:name w:val="Comment Text Char"/>
    <w:basedOn w:val="DefaultParagraphFont"/>
    <w:link w:val="CommentText"/>
    <w:uiPriority w:val="99"/>
    <w:rsid w:val="002F20E6"/>
    <w:rPr>
      <w:sz w:val="20"/>
      <w:szCs w:val="20"/>
      <w:lang w:val="en-GB"/>
    </w:rPr>
  </w:style>
  <w:style w:type="paragraph" w:styleId="CommentSubject">
    <w:name w:val="annotation subject"/>
    <w:basedOn w:val="CommentText"/>
    <w:next w:val="CommentText"/>
    <w:link w:val="CommentSubjectChar"/>
    <w:uiPriority w:val="99"/>
    <w:semiHidden/>
    <w:unhideWhenUsed/>
    <w:rsid w:val="002F20E6"/>
    <w:rPr>
      <w:b/>
      <w:bCs/>
    </w:rPr>
  </w:style>
  <w:style w:type="character" w:customStyle="1" w:styleId="CommentSubjectChar">
    <w:name w:val="Comment Subject Char"/>
    <w:basedOn w:val="CommentTextChar"/>
    <w:link w:val="CommentSubject"/>
    <w:uiPriority w:val="99"/>
    <w:semiHidden/>
    <w:rsid w:val="002F20E6"/>
    <w:rPr>
      <w:b/>
      <w:bCs/>
      <w:sz w:val="20"/>
      <w:szCs w:val="20"/>
      <w:lang w:val="en-GB"/>
    </w:rPr>
  </w:style>
  <w:style w:type="table" w:styleId="GridTable4-Accent6">
    <w:name w:val="Grid Table 4 Accent 6"/>
    <w:basedOn w:val="TableNormal"/>
    <w:uiPriority w:val="49"/>
    <w:rsid w:val="002F20E6"/>
    <w:tblPr>
      <w:tblStyleRowBandSize w:val="1"/>
      <w:tblStyleColBandSize w:val="1"/>
      <w:tblInd w:w="0" w:type="nil"/>
      <w:tblCellMar>
        <w:left w:w="0" w:type="dxa"/>
        <w:right w:w="0" w:type="dxa"/>
      </w:tblCellMar>
    </w:tblPr>
    <w:tcPr>
      <w:shd w:val="clear" w:color="auto" w:fill="F3F6E8" w:themeFill="accent6" w:themeFillTint="33"/>
    </w:tcPr>
    <w:tblStylePr w:type="firstRow">
      <w:rPr>
        <w:b/>
        <w:bCs/>
        <w:color w:val="FFFFFF" w:themeColor="background1"/>
      </w:rPr>
      <w:tblPr/>
      <w:tcPr>
        <w:tcBorders>
          <w:top w:val="single" w:sz="4" w:space="0" w:color="C4D38D" w:themeColor="accent6"/>
          <w:left w:val="single" w:sz="4" w:space="0" w:color="C4D38D" w:themeColor="accent6"/>
          <w:bottom w:val="single" w:sz="4" w:space="0" w:color="C4D38D" w:themeColor="accent6"/>
          <w:right w:val="single" w:sz="4" w:space="0" w:color="C4D38D" w:themeColor="accent6"/>
          <w:insideH w:val="nil"/>
          <w:insideV w:val="nil"/>
        </w:tcBorders>
        <w:shd w:val="clear" w:color="auto" w:fill="C4D38D" w:themeFill="accent6"/>
      </w:tcPr>
    </w:tblStylePr>
    <w:tblStylePr w:type="lastRow">
      <w:rPr>
        <w:b/>
        <w:bCs/>
      </w:rPr>
      <w:tblPr/>
      <w:tcPr>
        <w:tcBorders>
          <w:top w:val="double" w:sz="4" w:space="0" w:color="C4D38D" w:themeColor="accent6"/>
        </w:tcBorders>
      </w:tcPr>
    </w:tblStylePr>
    <w:tblStylePr w:type="firstCol">
      <w:rPr>
        <w:b/>
        <w:bCs/>
      </w:rPr>
    </w:tblStylePr>
    <w:tblStylePr w:type="lastCol">
      <w:rPr>
        <w:b/>
        <w:bCs/>
      </w:rPr>
    </w:tblStylePr>
    <w:tblStylePr w:type="band1Vert">
      <w:tblPr/>
      <w:tcPr>
        <w:shd w:val="clear" w:color="auto" w:fill="F3F6E8" w:themeFill="accent6" w:themeFillTint="33"/>
      </w:tcPr>
    </w:tblStylePr>
  </w:style>
  <w:style w:type="character" w:styleId="Mention">
    <w:name w:val="Mention"/>
    <w:basedOn w:val="DefaultParagraphFont"/>
    <w:uiPriority w:val="99"/>
    <w:unhideWhenUsed/>
    <w:rsid w:val="00641797"/>
    <w:rPr>
      <w:color w:val="2B579A"/>
      <w:shd w:val="clear" w:color="auto" w:fill="E1DFDD"/>
    </w:rPr>
  </w:style>
  <w:style w:type="table" w:styleId="GridTable4-Accent1">
    <w:name w:val="Grid Table 4 Accent 1"/>
    <w:basedOn w:val="TableNormal"/>
    <w:uiPriority w:val="49"/>
    <w:rsid w:val="0048400C"/>
    <w:tblPr>
      <w:tblStyleRowBandSize w:val="1"/>
      <w:tblStyleColBandSize w:val="1"/>
      <w:tblInd w:w="0" w:type="nil"/>
      <w:tblCellMar>
        <w:left w:w="0" w:type="dxa"/>
        <w:right w:w="0" w:type="dxa"/>
      </w:tblCellMar>
    </w:tblPr>
    <w:tcPr>
      <w:shd w:val="clear" w:color="auto" w:fill="D8EDD0" w:themeFill="accent1" w:themeFillTint="33"/>
    </w:tcPr>
    <w:tblStylePr w:type="firstRow">
      <w:rPr>
        <w:b/>
        <w:bCs/>
        <w:color w:val="FFFFFF" w:themeColor="background1"/>
      </w:rPr>
      <w:tblPr/>
      <w:tcPr>
        <w:tcBorders>
          <w:top w:val="single" w:sz="4" w:space="0" w:color="4D8934" w:themeColor="accent1"/>
          <w:left w:val="single" w:sz="4" w:space="0" w:color="4D8934" w:themeColor="accent1"/>
          <w:bottom w:val="single" w:sz="4" w:space="0" w:color="4D8934" w:themeColor="accent1"/>
          <w:right w:val="single" w:sz="4" w:space="0" w:color="4D8934" w:themeColor="accent1"/>
          <w:insideH w:val="nil"/>
          <w:insideV w:val="nil"/>
        </w:tcBorders>
        <w:shd w:val="clear" w:color="auto" w:fill="4D8934" w:themeFill="accent1"/>
      </w:tcPr>
    </w:tblStylePr>
    <w:tblStylePr w:type="lastRow">
      <w:rPr>
        <w:b/>
        <w:bCs/>
      </w:rPr>
      <w:tblPr/>
      <w:tcPr>
        <w:tcBorders>
          <w:top w:val="double" w:sz="4" w:space="0" w:color="4D8934" w:themeColor="accent1"/>
        </w:tcBorders>
      </w:tcPr>
    </w:tblStylePr>
    <w:tblStylePr w:type="firstCol">
      <w:rPr>
        <w:b/>
        <w:bCs/>
      </w:rPr>
    </w:tblStylePr>
    <w:tblStylePr w:type="lastCol">
      <w:rPr>
        <w:b/>
        <w:bCs/>
      </w:rPr>
    </w:tblStylePr>
    <w:tblStylePr w:type="band1Vert">
      <w:tblPr/>
      <w:tcPr>
        <w:shd w:val="clear" w:color="auto" w:fill="D8EDD0" w:themeFill="accent1" w:themeFillTint="33"/>
      </w:tcPr>
    </w:tblStylePr>
  </w:style>
  <w:style w:type="paragraph" w:styleId="Header">
    <w:name w:val="header"/>
    <w:basedOn w:val="Normal"/>
    <w:link w:val="HeaderChar"/>
    <w:uiPriority w:val="99"/>
    <w:unhideWhenUsed/>
    <w:rsid w:val="007C28C0"/>
    <w:pPr>
      <w:tabs>
        <w:tab w:val="center" w:pos="4513"/>
        <w:tab w:val="right" w:pos="9026"/>
      </w:tabs>
    </w:pPr>
  </w:style>
  <w:style w:type="character" w:customStyle="1" w:styleId="HeaderChar">
    <w:name w:val="Header Char"/>
    <w:basedOn w:val="DefaultParagraphFont"/>
    <w:link w:val="Header"/>
    <w:uiPriority w:val="99"/>
    <w:rsid w:val="007C28C0"/>
    <w:rPr>
      <w:lang w:val="en-GB"/>
    </w:rPr>
  </w:style>
  <w:style w:type="paragraph" w:styleId="Footer">
    <w:name w:val="footer"/>
    <w:basedOn w:val="Normal"/>
    <w:link w:val="FooterChar"/>
    <w:uiPriority w:val="99"/>
    <w:unhideWhenUsed/>
    <w:rsid w:val="007C28C0"/>
    <w:pPr>
      <w:tabs>
        <w:tab w:val="center" w:pos="4513"/>
        <w:tab w:val="right" w:pos="9026"/>
      </w:tabs>
    </w:pPr>
  </w:style>
  <w:style w:type="character" w:customStyle="1" w:styleId="FooterChar">
    <w:name w:val="Footer Char"/>
    <w:basedOn w:val="DefaultParagraphFont"/>
    <w:link w:val="Footer"/>
    <w:uiPriority w:val="99"/>
    <w:rsid w:val="007C28C0"/>
    <w:rPr>
      <w:lang w:val="en-GB"/>
    </w:rPr>
  </w:style>
  <w:style w:type="table" w:styleId="TableGrid">
    <w:name w:val="Table Grid"/>
    <w:basedOn w:val="TableNormal"/>
    <w:uiPriority w:val="39"/>
    <w:rsid w:val="001E4334"/>
    <w:pPr>
      <w:spacing w:before="120" w:line="360" w:lineRule="auto"/>
      <w:jc w:val="center"/>
    </w:pPr>
    <w:rPr>
      <w:kern w:val="0"/>
      <w:sz w:val="20"/>
      <w:szCs w:val="22"/>
      <w:lang w:val="en-GB"/>
      <w14:ligatures w14:val="none"/>
    </w:rPr>
    <w:tblPr>
      <w:tblStyleRowBandSize w:val="1"/>
      <w:tblStyleColBandSize w:val="1"/>
      <w:tblInd w:w="0" w:type="nil"/>
      <w:tblCellMar>
        <w:left w:w="0" w:type="dxa"/>
        <w:right w:w="0" w:type="dxa"/>
      </w:tblCellMar>
    </w:tblPr>
    <w:tcPr>
      <w:shd w:val="clear" w:color="auto" w:fill="F2F2F2" w:themeFill="background1" w:themeFillShade="F2"/>
      <w:vAlign w:val="center"/>
    </w:tcPr>
    <w:tblStylePr w:type="firstRow">
      <w:pPr>
        <w:jc w:val="center"/>
      </w:pPr>
      <w:rPr>
        <w:rFonts w:asciiTheme="minorHAnsi" w:hAnsiTheme="minorHAnsi"/>
        <w:b/>
        <w:color w:val="FFFFFF" w:themeColor="background1"/>
        <w:sz w:val="20"/>
      </w:rPr>
      <w:tblPr/>
      <w:tcPr>
        <w:shd w:val="clear" w:color="auto" w:fill="70ADA3" w:themeFill="text2"/>
      </w:tcPr>
    </w:tblStylePr>
    <w:tblStylePr w:type="band1Vert">
      <w:pPr>
        <w:jc w:val="center"/>
      </w:pPr>
    </w:tblStylePr>
    <w:tblStylePr w:type="band1Horz">
      <w:pPr>
        <w:wordWrap/>
        <w:spacing w:afterLines="0" w:after="120" w:afterAutospacing="0"/>
        <w:jc w:val="center"/>
      </w:pPr>
      <w:rPr>
        <w:rFonts w:asciiTheme="minorHAnsi" w:hAnsiTheme="minorHAnsi"/>
        <w:color w:val="333333"/>
        <w:sz w:val="20"/>
      </w:rPr>
    </w:tblStylePr>
    <w:tblStylePr w:type="band2Horz">
      <w:pPr>
        <w:jc w:val="center"/>
      </w:pPr>
      <w:rPr>
        <w:rFonts w:asciiTheme="minorHAnsi" w:hAnsiTheme="minorHAnsi"/>
        <w:color w:val="333333"/>
        <w:sz w:val="20"/>
      </w:rPr>
    </w:tblStylePr>
  </w:style>
  <w:style w:type="table" w:styleId="GridTable4-Accent2">
    <w:name w:val="Grid Table 4 Accent 2"/>
    <w:basedOn w:val="TableNormal"/>
    <w:uiPriority w:val="49"/>
    <w:rsid w:val="001E4334"/>
    <w:tblPr>
      <w:tblStyleRowBandSize w:val="1"/>
      <w:tblStyleColBandSize w:val="1"/>
      <w:tblInd w:w="0" w:type="nil"/>
      <w:tblCellMar>
        <w:left w:w="0" w:type="dxa"/>
        <w:right w:w="0" w:type="dxa"/>
      </w:tblCellMar>
    </w:tblPr>
    <w:tcPr>
      <w:shd w:val="clear" w:color="auto" w:fill="E2EEEC" w:themeFill="accent2" w:themeFillTint="33"/>
    </w:tcPr>
    <w:tblStylePr w:type="firstRow">
      <w:rPr>
        <w:b/>
        <w:bCs/>
        <w:color w:val="FFFFFF" w:themeColor="background1"/>
      </w:rPr>
      <w:tblPr/>
      <w:tcPr>
        <w:tcBorders>
          <w:top w:val="single" w:sz="4" w:space="0" w:color="70ADA3" w:themeColor="accent2"/>
          <w:left w:val="single" w:sz="4" w:space="0" w:color="70ADA3" w:themeColor="accent2"/>
          <w:bottom w:val="single" w:sz="4" w:space="0" w:color="70ADA3" w:themeColor="accent2"/>
          <w:right w:val="single" w:sz="4" w:space="0" w:color="70ADA3" w:themeColor="accent2"/>
          <w:insideH w:val="nil"/>
          <w:insideV w:val="nil"/>
        </w:tcBorders>
        <w:shd w:val="clear" w:color="auto" w:fill="70ADA3" w:themeFill="accent2"/>
      </w:tcPr>
    </w:tblStylePr>
    <w:tblStylePr w:type="lastRow">
      <w:rPr>
        <w:b/>
        <w:bCs/>
      </w:rPr>
      <w:tblPr/>
      <w:tcPr>
        <w:tcBorders>
          <w:top w:val="double" w:sz="4" w:space="0" w:color="70ADA3" w:themeColor="accent2"/>
        </w:tcBorders>
      </w:tcPr>
    </w:tblStylePr>
    <w:tblStylePr w:type="firstCol">
      <w:rPr>
        <w:b/>
        <w:bCs/>
      </w:rPr>
    </w:tblStylePr>
    <w:tblStylePr w:type="lastCol">
      <w:rPr>
        <w:b/>
        <w:bCs/>
      </w:rPr>
    </w:tblStylePr>
    <w:tblStylePr w:type="band1Vert">
      <w:tblPr/>
      <w:tcPr>
        <w:shd w:val="clear" w:color="auto" w:fill="E2EEEC" w:themeFill="accent2" w:themeFillTint="33"/>
      </w:tcPr>
    </w:tblStylePr>
  </w:style>
  <w:style w:type="table" w:customStyle="1" w:styleId="TableGridLight1">
    <w:name w:val="Table Grid Light1"/>
    <w:basedOn w:val="TableNormal"/>
    <w:next w:val="TableGridLight"/>
    <w:uiPriority w:val="40"/>
    <w:rsid w:val="008321B4"/>
    <w:rPr>
      <w:kern w:val="0"/>
      <w:sz w:val="22"/>
      <w:szCs w:val="22"/>
      <w:lang w:val="en-GB"/>
      <w14:ligatures w14:val="none"/>
    </w:rPr>
    <w:tblPr>
      <w:tblInd w:w="0" w:type="nil"/>
      <w:tblCellMar>
        <w:left w:w="0" w:type="dxa"/>
        <w:right w:w="0" w:type="dxa"/>
      </w:tblCellMar>
    </w:tblPr>
  </w:style>
  <w:style w:type="table" w:styleId="TableGridLight">
    <w:name w:val="Grid Table Light"/>
    <w:basedOn w:val="TableNormal"/>
    <w:uiPriority w:val="40"/>
    <w:rsid w:val="008321B4"/>
    <w:tblPr>
      <w:tblInd w:w="0" w:type="nil"/>
      <w:tblCellMar>
        <w:left w:w="0" w:type="dxa"/>
        <w:right w:w="0" w:type="dxa"/>
      </w:tblCellMar>
    </w:tblPr>
  </w:style>
  <w:style w:type="character" w:customStyle="1" w:styleId="Heading1Char">
    <w:name w:val="Heading 1 Char"/>
    <w:basedOn w:val="DefaultParagraphFont"/>
    <w:link w:val="Heading1"/>
    <w:uiPriority w:val="9"/>
    <w:rsid w:val="008321B4"/>
    <w:rPr>
      <w:rFonts w:ascii="Arial" w:eastAsia="Arial" w:hAnsi="Arial" w:cs="Times New Roman"/>
      <w:b/>
      <w:caps/>
      <w:color w:val="70ADA3"/>
      <w:kern w:val="0"/>
      <w:szCs w:val="22"/>
      <w:lang w:val="en-GB"/>
      <w14:ligatures w14:val="none"/>
    </w:rPr>
  </w:style>
  <w:style w:type="character" w:customStyle="1" w:styleId="Heading2Char">
    <w:name w:val="Heading 2 Char"/>
    <w:basedOn w:val="DefaultParagraphFont"/>
    <w:link w:val="Heading2"/>
    <w:uiPriority w:val="9"/>
    <w:rsid w:val="008321B4"/>
    <w:rPr>
      <w:rFonts w:ascii="Arial" w:eastAsia="Arial" w:hAnsi="Arial" w:cs="Times New Roman"/>
      <w:caps/>
      <w:color w:val="70ADA3"/>
      <w:kern w:val="0"/>
      <w:szCs w:val="22"/>
      <w:lang w:val="en-GB"/>
      <w14:ligatures w14:val="none"/>
    </w:rPr>
  </w:style>
  <w:style w:type="paragraph" w:styleId="TOC1">
    <w:name w:val="toc 1"/>
    <w:basedOn w:val="Normal"/>
    <w:next w:val="Normal"/>
    <w:autoRedefine/>
    <w:uiPriority w:val="39"/>
    <w:unhideWhenUsed/>
    <w:rsid w:val="008321B4"/>
    <w:pPr>
      <w:spacing w:after="100"/>
    </w:pPr>
  </w:style>
  <w:style w:type="paragraph" w:styleId="TOC2">
    <w:name w:val="toc 2"/>
    <w:basedOn w:val="Normal"/>
    <w:next w:val="Normal"/>
    <w:autoRedefine/>
    <w:uiPriority w:val="39"/>
    <w:unhideWhenUsed/>
    <w:rsid w:val="008321B4"/>
    <w:pPr>
      <w:spacing w:after="100"/>
      <w:ind w:left="220"/>
    </w:pPr>
  </w:style>
  <w:style w:type="character" w:styleId="Hyperlink">
    <w:name w:val="Hyperlink"/>
    <w:basedOn w:val="DefaultParagraphFont"/>
    <w:uiPriority w:val="99"/>
    <w:unhideWhenUsed/>
    <w:rsid w:val="008321B4"/>
    <w:rPr>
      <w:color w:val="4D8934" w:themeColor="hyperlink"/>
      <w:u w:val="single"/>
    </w:rPr>
  </w:style>
  <w:style w:type="paragraph" w:customStyle="1" w:styleId="BackCoverBody">
    <w:name w:val="Back Cover Body"/>
    <w:basedOn w:val="Normal"/>
    <w:link w:val="BackCoverBodyChar"/>
    <w:qFormat/>
    <w:rsid w:val="00095D9A"/>
    <w:pPr>
      <w:spacing w:line="360" w:lineRule="auto"/>
    </w:pPr>
    <w:rPr>
      <w:rFonts w:asciiTheme="minorHAnsi" w:hAnsiTheme="minorHAnsi" w:cstheme="minorBidi"/>
      <w:color w:val="70ADA3" w:themeColor="text2"/>
      <w:kern w:val="0"/>
      <w:sz w:val="20"/>
      <w14:ligatures w14:val="none"/>
    </w:rPr>
  </w:style>
  <w:style w:type="character" w:customStyle="1" w:styleId="BackCoverBodyChar">
    <w:name w:val="Back Cover Body Char"/>
    <w:basedOn w:val="DefaultParagraphFont"/>
    <w:link w:val="BackCoverBody"/>
    <w:rsid w:val="00095D9A"/>
    <w:rPr>
      <w:color w:val="70ADA3" w:themeColor="text2"/>
      <w:kern w:val="0"/>
      <w:sz w:val="20"/>
      <w:szCs w:val="22"/>
      <w:lang w:val="en-GB"/>
      <w14:ligatures w14:val="none"/>
    </w:rPr>
  </w:style>
  <w:style w:type="character" w:styleId="UnresolvedMention">
    <w:name w:val="Unresolved Mention"/>
    <w:basedOn w:val="DefaultParagraphFont"/>
    <w:uiPriority w:val="99"/>
    <w:semiHidden/>
    <w:unhideWhenUsed/>
    <w:rsid w:val="00C654A6"/>
    <w:rPr>
      <w:color w:val="605E5C"/>
      <w:shd w:val="clear" w:color="auto" w:fill="E1DFDD"/>
    </w:rPr>
  </w:style>
  <w:style w:type="paragraph" w:styleId="TOCHeading">
    <w:name w:val="TOC Heading"/>
    <w:basedOn w:val="Heading1"/>
    <w:next w:val="Normal"/>
    <w:uiPriority w:val="39"/>
    <w:unhideWhenUsed/>
    <w:qFormat/>
    <w:rsid w:val="00082AEB"/>
    <w:pPr>
      <w:keepNext/>
      <w:keepLines/>
      <w:spacing w:before="240" w:after="0" w:line="259" w:lineRule="auto"/>
      <w:outlineLvl w:val="9"/>
    </w:pPr>
    <w:rPr>
      <w:rFonts w:asciiTheme="majorHAnsi" w:eastAsiaTheme="majorEastAsia" w:hAnsiTheme="majorHAnsi" w:cstheme="majorBidi"/>
      <w:b w:val="0"/>
      <w:caps w:val="0"/>
      <w:color w:val="396627" w:themeColor="accent1" w:themeShade="BF"/>
      <w:sz w:val="32"/>
      <w:szCs w:val="32"/>
      <w:lang w:val="en-US"/>
    </w:rPr>
  </w:style>
  <w:style w:type="paragraph" w:styleId="NoSpacing">
    <w:name w:val="No Spacing"/>
    <w:uiPriority w:val="1"/>
    <w:qFormat/>
    <w:rsid w:val="00AD224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9514">
      <w:bodyDiv w:val="1"/>
      <w:marLeft w:val="0"/>
      <w:marRight w:val="0"/>
      <w:marTop w:val="0"/>
      <w:marBottom w:val="0"/>
      <w:divBdr>
        <w:top w:val="none" w:sz="0" w:space="0" w:color="auto"/>
        <w:left w:val="none" w:sz="0" w:space="0" w:color="auto"/>
        <w:bottom w:val="none" w:sz="0" w:space="0" w:color="auto"/>
        <w:right w:val="none" w:sz="0" w:space="0" w:color="auto"/>
      </w:divBdr>
    </w:div>
    <w:div w:id="108205937">
      <w:bodyDiv w:val="1"/>
      <w:marLeft w:val="0"/>
      <w:marRight w:val="0"/>
      <w:marTop w:val="0"/>
      <w:marBottom w:val="0"/>
      <w:divBdr>
        <w:top w:val="none" w:sz="0" w:space="0" w:color="auto"/>
        <w:left w:val="none" w:sz="0" w:space="0" w:color="auto"/>
        <w:bottom w:val="none" w:sz="0" w:space="0" w:color="auto"/>
        <w:right w:val="none" w:sz="0" w:space="0" w:color="auto"/>
      </w:divBdr>
    </w:div>
    <w:div w:id="181743456">
      <w:bodyDiv w:val="1"/>
      <w:marLeft w:val="0"/>
      <w:marRight w:val="0"/>
      <w:marTop w:val="0"/>
      <w:marBottom w:val="0"/>
      <w:divBdr>
        <w:top w:val="none" w:sz="0" w:space="0" w:color="auto"/>
        <w:left w:val="none" w:sz="0" w:space="0" w:color="auto"/>
        <w:bottom w:val="none" w:sz="0" w:space="0" w:color="auto"/>
        <w:right w:val="none" w:sz="0" w:space="0" w:color="auto"/>
      </w:divBdr>
    </w:div>
    <w:div w:id="588657554">
      <w:bodyDiv w:val="1"/>
      <w:marLeft w:val="0"/>
      <w:marRight w:val="0"/>
      <w:marTop w:val="0"/>
      <w:marBottom w:val="0"/>
      <w:divBdr>
        <w:top w:val="none" w:sz="0" w:space="0" w:color="auto"/>
        <w:left w:val="none" w:sz="0" w:space="0" w:color="auto"/>
        <w:bottom w:val="none" w:sz="0" w:space="0" w:color="auto"/>
        <w:right w:val="none" w:sz="0" w:space="0" w:color="auto"/>
      </w:divBdr>
    </w:div>
    <w:div w:id="1225682177">
      <w:bodyDiv w:val="1"/>
      <w:marLeft w:val="0"/>
      <w:marRight w:val="0"/>
      <w:marTop w:val="0"/>
      <w:marBottom w:val="0"/>
      <w:divBdr>
        <w:top w:val="none" w:sz="0" w:space="0" w:color="auto"/>
        <w:left w:val="none" w:sz="0" w:space="0" w:color="auto"/>
        <w:bottom w:val="none" w:sz="0" w:space="0" w:color="auto"/>
        <w:right w:val="none" w:sz="0" w:space="0" w:color="auto"/>
      </w:divBdr>
    </w:div>
    <w:div w:id="1376199254">
      <w:bodyDiv w:val="1"/>
      <w:marLeft w:val="0"/>
      <w:marRight w:val="0"/>
      <w:marTop w:val="0"/>
      <w:marBottom w:val="0"/>
      <w:divBdr>
        <w:top w:val="none" w:sz="0" w:space="0" w:color="auto"/>
        <w:left w:val="none" w:sz="0" w:space="0" w:color="auto"/>
        <w:bottom w:val="none" w:sz="0" w:space="0" w:color="auto"/>
        <w:right w:val="none" w:sz="0" w:space="0" w:color="auto"/>
      </w:divBdr>
    </w:div>
    <w:div w:id="160611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gital-navigator.azurewebsites.net/codes-schedules/definitions/556" TargetMode="External"/><Relationship Id="rId21" Type="http://schemas.openxmlformats.org/officeDocument/2006/relationships/hyperlink" Target="https://digital-navigator.azurewebsites.net/codes-schedules/definitions/575" TargetMode="External"/><Relationship Id="rId42" Type="http://schemas.openxmlformats.org/officeDocument/2006/relationships/hyperlink" Target="https://digital-navigator.azurewebsites.net/codes-schedules/definitions/31" TargetMode="External"/><Relationship Id="rId47" Type="http://schemas.openxmlformats.org/officeDocument/2006/relationships/hyperlink" Target="https://digital-navigator.azurewebsites.net/codes-schedules/definitions/923" TargetMode="External"/><Relationship Id="rId63" Type="http://schemas.openxmlformats.org/officeDocument/2006/relationships/hyperlink" Target="https://digital-navigator.azurewebsites.net/dataspec/4.1.1/dataitem/DI40212" TargetMode="External"/><Relationship Id="rId68" Type="http://schemas.openxmlformats.org/officeDocument/2006/relationships/header" Target="header2.xml"/><Relationship Id="rId7" Type="http://schemas.openxmlformats.org/officeDocument/2006/relationships/numbering" Target="numbering.xml"/><Relationship Id="rId71"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digital-navigator.azurewebsites.net/dataspec/4.0.0/marketmessage/MM90012" TargetMode="External"/><Relationship Id="rId29" Type="http://schemas.openxmlformats.org/officeDocument/2006/relationships/hyperlink" Target="https://digital-navigator.azurewebsites.net/codes-schedules/46/1.3" TargetMode="External"/><Relationship Id="rId11" Type="http://schemas.openxmlformats.org/officeDocument/2006/relationships/footnotes" Target="footnotes.xml"/><Relationship Id="rId24" Type="http://schemas.openxmlformats.org/officeDocument/2006/relationships/hyperlink" Target="https://digital-navigator.azurewebsites.net/codes-schedules/definitions/88" TargetMode="External"/><Relationship Id="rId32" Type="http://schemas.openxmlformats.org/officeDocument/2006/relationships/hyperlink" Target="https://digital-navigator.azurewebsites.net/dataspec/4.1.1/dataitem/DI40213" TargetMode="External"/><Relationship Id="rId37" Type="http://schemas.openxmlformats.org/officeDocument/2006/relationships/hyperlink" Target="https://digital-navigator.azurewebsites.net/codes-schedules/definitions/71" TargetMode="External"/><Relationship Id="rId40" Type="http://schemas.openxmlformats.org/officeDocument/2006/relationships/hyperlink" Target="https://digital-navigator.azurewebsites.net/codes-schedules/definitions/302" TargetMode="External"/><Relationship Id="rId45" Type="http://schemas.openxmlformats.org/officeDocument/2006/relationships/hyperlink" Target="https://digital-navigator.azurewebsites.net/codes-schedules/definitions/466" TargetMode="External"/><Relationship Id="rId53" Type="http://schemas.microsoft.com/office/2016/09/relationships/commentsIds" Target="commentsIds.xml"/><Relationship Id="rId58" Type="http://schemas.openxmlformats.org/officeDocument/2006/relationships/footer" Target="footer2.xml"/><Relationship Id="rId66" Type="http://schemas.openxmlformats.org/officeDocument/2006/relationships/hyperlink" Target="mailto:enquiries@recmanager.co.uk" TargetMode="External"/><Relationship Id="rId5" Type="http://schemas.openxmlformats.org/officeDocument/2006/relationships/customXml" Target="../customXml/item5.xml"/><Relationship Id="rId61" Type="http://schemas.openxmlformats.org/officeDocument/2006/relationships/hyperlink" Target="https://www.ofgem.gov.uk/information-consumers/energy-advice-households/energy-price-cap-explained" TargetMode="External"/><Relationship Id="rId19" Type="http://schemas.openxmlformats.org/officeDocument/2006/relationships/hyperlink" Target="https://digital-navigator.azurewebsites.net/codes-schedules/definitions/103" TargetMode="External"/><Relationship Id="rId14" Type="http://schemas.openxmlformats.org/officeDocument/2006/relationships/image" Target="media/image2.png"/><Relationship Id="rId22" Type="http://schemas.openxmlformats.org/officeDocument/2006/relationships/hyperlink" Target="https://digital-navigator.azurewebsites.net/codes-schedules/definitions/537" TargetMode="External"/><Relationship Id="rId27" Type="http://schemas.openxmlformats.org/officeDocument/2006/relationships/hyperlink" Target="https://digital-navigator.azurewebsites.net/codes-schedules/definitions/56" TargetMode="External"/><Relationship Id="rId30" Type="http://schemas.openxmlformats.org/officeDocument/2006/relationships/image" Target="media/image3.png"/><Relationship Id="rId35" Type="http://schemas.openxmlformats.org/officeDocument/2006/relationships/hyperlink" Target="https://digital-navigator.azurewebsites.net/dataspec/4.1.1/dataitem/DI50997" TargetMode="External"/><Relationship Id="rId43" Type="http://schemas.openxmlformats.org/officeDocument/2006/relationships/hyperlink" Target="https://digital-navigator.azurewebsites.net/codes-schedules/definitions/923" TargetMode="External"/><Relationship Id="rId48" Type="http://schemas.openxmlformats.org/officeDocument/2006/relationships/hyperlink" Target="https://digital-navigator.azurewebsites.net/codes-schedules/definitions/74" TargetMode="External"/><Relationship Id="rId56" Type="http://schemas.openxmlformats.org/officeDocument/2006/relationships/header" Target="header1.xml"/><Relationship Id="rId64" Type="http://schemas.openxmlformats.org/officeDocument/2006/relationships/image" Target="media/image5.png"/><Relationship Id="rId69" Type="http://schemas.openxmlformats.org/officeDocument/2006/relationships/footer" Target="footer3.xml"/><Relationship Id="rId8" Type="http://schemas.openxmlformats.org/officeDocument/2006/relationships/styles" Target="styles.xml"/><Relationship Id="rId51" Type="http://schemas.openxmlformats.org/officeDocument/2006/relationships/comments" Target="comments.xm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digital-navigator.azurewebsites.net/dataspec/4.0.0/dataitem/DI90017" TargetMode="External"/><Relationship Id="rId25" Type="http://schemas.openxmlformats.org/officeDocument/2006/relationships/hyperlink" Target="https://digital-navigator.azurewebsites.net/dataspec/marketmessage/MM92035" TargetMode="External"/><Relationship Id="rId33" Type="http://schemas.openxmlformats.org/officeDocument/2006/relationships/hyperlink" Target="https://digital-navigator.azurewebsites.net/dataspec/4.1.1/dataitem/DI50998" TargetMode="External"/><Relationship Id="rId38" Type="http://schemas.openxmlformats.org/officeDocument/2006/relationships/hyperlink" Target="https://digital-navigator.azurewebsites.net/codes-schedules/definitions/466" TargetMode="External"/><Relationship Id="rId46" Type="http://schemas.openxmlformats.org/officeDocument/2006/relationships/hyperlink" Target="https://digital-navigator.azurewebsites.net/codes-schedules/definitions/74" TargetMode="External"/><Relationship Id="rId59" Type="http://schemas.openxmlformats.org/officeDocument/2006/relationships/hyperlink" Target="https://www.ecoes.co.uk/" TargetMode="External"/><Relationship Id="rId67" Type="http://schemas.openxmlformats.org/officeDocument/2006/relationships/hyperlink" Target="mailto:enquiries@recmanager.co.uk" TargetMode="External"/><Relationship Id="rId20" Type="http://schemas.openxmlformats.org/officeDocument/2006/relationships/hyperlink" Target="https://digital-navigator.azurewebsites.net/codes-schedules/definitions/574" TargetMode="External"/><Relationship Id="rId41" Type="http://schemas.openxmlformats.org/officeDocument/2006/relationships/hyperlink" Target="https://digital-navigator.azurewebsites.net/codes-schedules/definitions/923" TargetMode="External"/><Relationship Id="rId54" Type="http://schemas.microsoft.com/office/2018/08/relationships/commentsExtensible" Target="commentsExtensible.xml"/><Relationship Id="rId62" Type="http://schemas.openxmlformats.org/officeDocument/2006/relationships/hyperlink" Target="https://digital-navigator.azurewebsites.net/dataspec/4.1.1/dataitem/DI50997"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recportal.co.uk/documents/20121/5829638857/Resolution+of+Consumer+Facing+Switching+and+Billing+Issues+Current.pdf/603dc862-2752-f56f-f678-3ba280b07b38?t=1758700122332" TargetMode="External"/><Relationship Id="rId23" Type="http://schemas.openxmlformats.org/officeDocument/2006/relationships/hyperlink" Target="https://digital-navigator.azurewebsites.net/codes-schedules/definitions/558" TargetMode="External"/><Relationship Id="rId28" Type="http://schemas.openxmlformats.org/officeDocument/2006/relationships/hyperlink" Target="https://digital-navigator.azurewebsites.net/codes-schedules/definitions/469" TargetMode="External"/><Relationship Id="rId36" Type="http://schemas.openxmlformats.org/officeDocument/2006/relationships/hyperlink" Target="https://digital-navigator.azurewebsites.net/codes-schedules/definitions/302" TargetMode="External"/><Relationship Id="rId49" Type="http://schemas.openxmlformats.org/officeDocument/2006/relationships/hyperlink" Target="https://recportal.co.uk/documents/20121/5829638857/Secure+Data+Exchange+Portal+%28SDEP%29+User+Guide+Current.pdf/1168e2f0-3c50-fff2-a658-3a453a3861c9?t=1763115834958" TargetMode="External"/><Relationship Id="rId57" Type="http://schemas.openxmlformats.org/officeDocument/2006/relationships/footer" Target="footer1.xml"/><Relationship Id="rId10" Type="http://schemas.openxmlformats.org/officeDocument/2006/relationships/webSettings" Target="webSettings.xml"/><Relationship Id="rId31" Type="http://schemas.openxmlformats.org/officeDocument/2006/relationships/hyperlink" Target="https://recportal.co.uk/documents/20121/5829638857/Resolution+of+Consumer+Facing+Switching+and+Billing+Issues+Current.pdf/603dc862-2752-f56f-f678-3ba280b07b38?t=1758700122332" TargetMode="External"/><Relationship Id="rId44" Type="http://schemas.openxmlformats.org/officeDocument/2006/relationships/hyperlink" Target="https://digital-navigator.azurewebsites.net/codes-schedules/definitions/103" TargetMode="External"/><Relationship Id="rId52" Type="http://schemas.microsoft.com/office/2011/relationships/commentsExtended" Target="commentsExtended.xml"/><Relationship Id="rId60" Type="http://schemas.openxmlformats.org/officeDocument/2006/relationships/hyperlink" Target="https://www.xoserve.com/products-services/data-products/gas-enquiry-service-ges/" TargetMode="External"/><Relationship Id="rId65"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recportal.co.uk/documents/20121/5829638857/Resolution+of+Consumer+Facing+Switching+and+Billing+Issues+Current.pdf/603dc862-2752-f56f-f678-3ba280b07b38?t=1758700122332" TargetMode="External"/><Relationship Id="rId39" Type="http://schemas.openxmlformats.org/officeDocument/2006/relationships/hyperlink" Target="https://digital-navigator.azurewebsites.net/codes-schedules/definitions/103" TargetMode="External"/><Relationship Id="rId34" Type="http://schemas.openxmlformats.org/officeDocument/2006/relationships/hyperlink" Target="https://recportal.co.uk/documents/20121/5829638857/Secure+Data+Exchange+Portal+%28SDEP%29+User+Guide+Current.pdf/1168e2f0-3c50-fff2-a658-3a453a3861c9?t=1763115834958" TargetMode="External"/><Relationship Id="rId50" Type="http://schemas.openxmlformats.org/officeDocument/2006/relationships/hyperlink" Target="https://recportal.co.uk/documents/20121/5965394393/SDEP+Escalations+-+Guidance+Current.pdf/bcedc822-2ebb-8b20-ade4-2c766fa667d2?t=1760524276848" TargetMode="External"/><Relationship Id="rId55" Type="http://schemas.openxmlformats.org/officeDocument/2006/relationships/hyperlink" Target="mailto:enquiries@recmanager.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oden\AppData\Local\Temp\Templafy\WordVsto\xharuttf.dotx" TargetMode="External"/></Relationships>
</file>

<file path=word/theme/theme1.xml><?xml version="1.0" encoding="utf-8"?>
<a:theme xmlns:a="http://schemas.openxmlformats.org/drawingml/2006/main" name="Deloitte Brand Theme">
  <a:themeElements>
    <a:clrScheme name="REC">
      <a:dk1>
        <a:sysClr val="windowText" lastClr="000000"/>
      </a:dk1>
      <a:lt1>
        <a:sysClr val="window" lastClr="FFFFFF"/>
      </a:lt1>
      <a:dk2>
        <a:srgbClr val="70ADA3"/>
      </a:dk2>
      <a:lt2>
        <a:srgbClr val="FFFFFF"/>
      </a:lt2>
      <a:accent1>
        <a:srgbClr val="4D8934"/>
      </a:accent1>
      <a:accent2>
        <a:srgbClr val="70ADA3"/>
      </a:accent2>
      <a:accent3>
        <a:srgbClr val="7B282E"/>
      </a:accent3>
      <a:accent4>
        <a:srgbClr val="BE6516"/>
      </a:accent4>
      <a:accent5>
        <a:srgbClr val="E7AB00"/>
      </a:accent5>
      <a:accent6>
        <a:srgbClr val="C4D38D"/>
      </a:accent6>
      <a:hlink>
        <a:srgbClr val="4D8934"/>
      </a:hlink>
      <a:folHlink>
        <a:srgbClr val="70ADA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 Brand Theme" id="{7CF146C4-F33C-4674-9F60-3E413DE8D245}" vid="{1FA3A202-160F-48F1-9CAA-9049691AC62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c2d045-8e25-435d-815b-720e20c2c938">
      <Terms xmlns="http://schemas.microsoft.com/office/infopath/2007/PartnerControls"/>
    </lcf76f155ced4ddcb4097134ff3c332f>
    <TaxCatchAll xmlns="d56f5920-408a-468e-ac0d-d8a840070622" xsi:nil="true"/>
  </documentManagement>
</p:properties>
</file>

<file path=customXml/item3.xml><?xml version="1.0" encoding="utf-8"?>
<TemplafyFormConfiguration><![CDATA[{"formFields":[],"formDataEntries":[]}]]></TemplafyFormConfiguration>
</file>

<file path=customXml/item4.xml><?xml version="1.0" encoding="utf-8"?>
<TemplafyTemplateConfiguration><![CDATA[{"elementsMetadata":[],"transformationConfigurations":[],"templateName":"Deloitte Word Document","templateDescription":"","enableDocumentContentUpdater":false,"version":"2.0"}]]></TemplafyTemplateConfigura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E3F83C56C950074FBBC1FEEA0F1826A8" ma:contentTypeVersion="5" ma:contentTypeDescription="Create a new document." ma:contentTypeScope="" ma:versionID="a18847ee2ac0b294990b0ede5371a6e2">
  <xsd:schema xmlns:xsd="http://www.w3.org/2001/XMLSchema" xmlns:xs="http://www.w3.org/2001/XMLSchema" xmlns:p="http://schemas.microsoft.com/office/2006/metadata/properties" xmlns:ns2="33669984-af94-4b35-9f37-f4574e663bce" xmlns:ns3="d5e8df70-7ba7-462a-92bc-0eb2af61e599" xmlns:ns4="9cc2d045-8e25-435d-815b-720e20c2c938" xmlns:ns5="d56f5920-408a-468e-ac0d-d8a840070622" targetNamespace="http://schemas.microsoft.com/office/2006/metadata/properties" ma:root="true" ma:fieldsID="49302b1b7dcd4699b9da0a44b97acd64" ns2:_="" ns3:_="" ns4:_="" ns5:_="">
    <xsd:import namespace="33669984-af94-4b35-9f37-f4574e663bce"/>
    <xsd:import namespace="d5e8df70-7ba7-462a-92bc-0eb2af61e599"/>
    <xsd:import namespace="9cc2d045-8e25-435d-815b-720e20c2c938"/>
    <xsd:import namespace="d56f5920-408a-468e-ac0d-d8a8400706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4:MediaServiceLoca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69984-af94-4b35-9f37-f4574e663b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e8df70-7ba7-462a-92bc-0eb2af61e5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c2d045-8e25-435d-815b-720e20c2c938" elementFormDefault="qualified">
    <xsd:import namespace="http://schemas.microsoft.com/office/2006/documentManagement/types"/>
    <xsd:import namespace="http://schemas.microsoft.com/office/infopath/2007/PartnerControls"/>
    <xsd:element name="MediaServiceLocation" ma:index="22" nillable="true" ma:displayName="Location" ma:indexed="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33823e1-7006-446b-af26-4f3e04a5b2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6f5920-408a-468e-ac0d-d8a84007062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74d7232-ab4d-4b26-ba5a-6465905dd2f2}" ma:internalName="TaxCatchAll" ma:showField="CatchAllData" ma:web="d56f5920-408a-468e-ac0d-d8a840070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7DCC69-DE16-4515-A01E-7CA1DF3D58C8}">
  <ds:schemaRefs>
    <ds:schemaRef ds:uri="http://schemas.openxmlformats.org/officeDocument/2006/bibliography"/>
  </ds:schemaRefs>
</ds:datastoreItem>
</file>

<file path=customXml/itemProps2.xml><?xml version="1.0" encoding="utf-8"?>
<ds:datastoreItem xmlns:ds="http://schemas.openxmlformats.org/officeDocument/2006/customXml" ds:itemID="{DF8D8221-6B45-478C-9112-8DB6354F4E0E}">
  <ds:schemaRefs>
    <ds:schemaRef ds:uri="http://schemas.microsoft.com/office/2006/metadata/properties"/>
    <ds:schemaRef ds:uri="http://schemas.microsoft.com/office/infopath/2007/PartnerControls"/>
    <ds:schemaRef ds:uri="9cc2d045-8e25-435d-815b-720e20c2c938"/>
    <ds:schemaRef ds:uri="d56f5920-408a-468e-ac0d-d8a840070622"/>
  </ds:schemaRefs>
</ds:datastoreItem>
</file>

<file path=customXml/itemProps3.xml><?xml version="1.0" encoding="utf-8"?>
<ds:datastoreItem xmlns:ds="http://schemas.openxmlformats.org/officeDocument/2006/customXml" ds:itemID="{5473022F-DECF-4968-B8CF-6BBD2E638916}">
  <ds:schemaRefs/>
</ds:datastoreItem>
</file>

<file path=customXml/itemProps4.xml><?xml version="1.0" encoding="utf-8"?>
<ds:datastoreItem xmlns:ds="http://schemas.openxmlformats.org/officeDocument/2006/customXml" ds:itemID="{CDD69243-3613-4536-AA8D-6ED55ECCEE3E}">
  <ds:schemaRefs/>
</ds:datastoreItem>
</file>

<file path=customXml/itemProps5.xml><?xml version="1.0" encoding="utf-8"?>
<ds:datastoreItem xmlns:ds="http://schemas.openxmlformats.org/officeDocument/2006/customXml" ds:itemID="{237B2F64-C364-4A78-B544-E47E58883284}">
  <ds:schemaRefs>
    <ds:schemaRef ds:uri="http://schemas.microsoft.com/sharepoint/v3/contenttype/forms"/>
  </ds:schemaRefs>
</ds:datastoreItem>
</file>

<file path=customXml/itemProps6.xml><?xml version="1.0" encoding="utf-8"?>
<ds:datastoreItem xmlns:ds="http://schemas.openxmlformats.org/officeDocument/2006/customXml" ds:itemID="{88A5A587-191E-49EA-AC5C-307E1AD61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69984-af94-4b35-9f37-f4574e663bce"/>
    <ds:schemaRef ds:uri="d5e8df70-7ba7-462a-92bc-0eb2af61e599"/>
    <ds:schemaRef ds:uri="9cc2d045-8e25-435d-815b-720e20c2c938"/>
    <ds:schemaRef ds:uri="d56f5920-408a-468e-ac0d-d8a840070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xharuttf.dotx</Template>
  <TotalTime>184</TotalTime>
  <Pages>1</Pages>
  <Words>2684</Words>
  <Characters>15304</Characters>
  <Application>Microsoft Office Word</Application>
  <DocSecurity>4</DocSecurity>
  <Lines>127</Lines>
  <Paragraphs>35</Paragraphs>
  <ScaleCrop>false</ScaleCrop>
  <Company/>
  <LinksUpToDate>false</LinksUpToDate>
  <CharactersWithSpaces>17953</CharactersWithSpaces>
  <SharedDoc>false</SharedDoc>
  <HLinks>
    <vt:vector size="252" baseType="variant">
      <vt:variant>
        <vt:i4>8126501</vt:i4>
      </vt:variant>
      <vt:variant>
        <vt:i4>120</vt:i4>
      </vt:variant>
      <vt:variant>
        <vt:i4>0</vt:i4>
      </vt:variant>
      <vt:variant>
        <vt:i4>5</vt:i4>
      </vt:variant>
      <vt:variant>
        <vt:lpwstr>https://digital-navigator.azurewebsites.net/dataspec/4.1.1/dataitem/DI40212</vt:lpwstr>
      </vt:variant>
      <vt:variant>
        <vt:lpwstr/>
      </vt:variant>
      <vt:variant>
        <vt:i4>7602223</vt:i4>
      </vt:variant>
      <vt:variant>
        <vt:i4>117</vt:i4>
      </vt:variant>
      <vt:variant>
        <vt:i4>0</vt:i4>
      </vt:variant>
      <vt:variant>
        <vt:i4>5</vt:i4>
      </vt:variant>
      <vt:variant>
        <vt:lpwstr>https://digital-navigator.azurewebsites.net/dataspec/4.1.1/dataitem/DI50997</vt:lpwstr>
      </vt:variant>
      <vt:variant>
        <vt:lpwstr/>
      </vt:variant>
      <vt:variant>
        <vt:i4>3145837</vt:i4>
      </vt:variant>
      <vt:variant>
        <vt:i4>114</vt:i4>
      </vt:variant>
      <vt:variant>
        <vt:i4>0</vt:i4>
      </vt:variant>
      <vt:variant>
        <vt:i4>5</vt:i4>
      </vt:variant>
      <vt:variant>
        <vt:lpwstr>https://www.ofgem.gov.uk/information-consumers/energy-advice-households/energy-price-cap-explained</vt:lpwstr>
      </vt:variant>
      <vt:variant>
        <vt:lpwstr/>
      </vt:variant>
      <vt:variant>
        <vt:i4>5242960</vt:i4>
      </vt:variant>
      <vt:variant>
        <vt:i4>111</vt:i4>
      </vt:variant>
      <vt:variant>
        <vt:i4>0</vt:i4>
      </vt:variant>
      <vt:variant>
        <vt:i4>5</vt:i4>
      </vt:variant>
      <vt:variant>
        <vt:lpwstr>https://www.xoserve.com/products-services/data-products/gas-enquiry-service-ges/</vt:lpwstr>
      </vt:variant>
      <vt:variant>
        <vt:lpwstr/>
      </vt:variant>
      <vt:variant>
        <vt:i4>5570591</vt:i4>
      </vt:variant>
      <vt:variant>
        <vt:i4>108</vt:i4>
      </vt:variant>
      <vt:variant>
        <vt:i4>0</vt:i4>
      </vt:variant>
      <vt:variant>
        <vt:i4>5</vt:i4>
      </vt:variant>
      <vt:variant>
        <vt:lpwstr>https://www.ecoes.co.uk/</vt:lpwstr>
      </vt:variant>
      <vt:variant>
        <vt:lpwstr/>
      </vt:variant>
      <vt:variant>
        <vt:i4>4522040</vt:i4>
      </vt:variant>
      <vt:variant>
        <vt:i4>105</vt:i4>
      </vt:variant>
      <vt:variant>
        <vt:i4>0</vt:i4>
      </vt:variant>
      <vt:variant>
        <vt:i4>5</vt:i4>
      </vt:variant>
      <vt:variant>
        <vt:lpwstr>mailto:enquiries@recmanager.co.uk</vt:lpwstr>
      </vt:variant>
      <vt:variant>
        <vt:lpwstr/>
      </vt:variant>
      <vt:variant>
        <vt:i4>7929905</vt:i4>
      </vt:variant>
      <vt:variant>
        <vt:i4>102</vt:i4>
      </vt:variant>
      <vt:variant>
        <vt:i4>0</vt:i4>
      </vt:variant>
      <vt:variant>
        <vt:i4>5</vt:i4>
      </vt:variant>
      <vt:variant>
        <vt:lpwstr>https://recportal.co.uk/documents/20121/5965394393/SDEP+Escalations+-+Guidance+Current.pdf/bcedc822-2ebb-8b20-ade4-2c766fa667d2?t=1760524276848</vt:lpwstr>
      </vt:variant>
      <vt:variant>
        <vt:lpwstr/>
      </vt:variant>
      <vt:variant>
        <vt:i4>4456459</vt:i4>
      </vt:variant>
      <vt:variant>
        <vt:i4>99</vt:i4>
      </vt:variant>
      <vt:variant>
        <vt:i4>0</vt:i4>
      </vt:variant>
      <vt:variant>
        <vt:i4>5</vt:i4>
      </vt:variant>
      <vt:variant>
        <vt:lpwstr>https://recportal.co.uk/documents/20121/5829638857/Secure+Data+Exchange+Portal+%28SDEP%29+User+Guide+Current.pdf/1168e2f0-3c50-fff2-a658-3a453a3861c9?t=1763115834958</vt:lpwstr>
      </vt:variant>
      <vt:variant>
        <vt:lpwstr/>
      </vt:variant>
      <vt:variant>
        <vt:i4>6750335</vt:i4>
      </vt:variant>
      <vt:variant>
        <vt:i4>96</vt:i4>
      </vt:variant>
      <vt:variant>
        <vt:i4>0</vt:i4>
      </vt:variant>
      <vt:variant>
        <vt:i4>5</vt:i4>
      </vt:variant>
      <vt:variant>
        <vt:lpwstr>https://digital-navigator.azurewebsites.net/codes-schedules/definitions/74</vt:lpwstr>
      </vt:variant>
      <vt:variant>
        <vt:lpwstr/>
      </vt:variant>
      <vt:variant>
        <vt:i4>6357105</vt:i4>
      </vt:variant>
      <vt:variant>
        <vt:i4>93</vt:i4>
      </vt:variant>
      <vt:variant>
        <vt:i4>0</vt:i4>
      </vt:variant>
      <vt:variant>
        <vt:i4>5</vt:i4>
      </vt:variant>
      <vt:variant>
        <vt:lpwstr>https://digital-navigator.azurewebsites.net/codes-schedules/definitions/923</vt:lpwstr>
      </vt:variant>
      <vt:variant>
        <vt:lpwstr/>
      </vt:variant>
      <vt:variant>
        <vt:i4>6750335</vt:i4>
      </vt:variant>
      <vt:variant>
        <vt:i4>90</vt:i4>
      </vt:variant>
      <vt:variant>
        <vt:i4>0</vt:i4>
      </vt:variant>
      <vt:variant>
        <vt:i4>5</vt:i4>
      </vt:variant>
      <vt:variant>
        <vt:lpwstr>https://digital-navigator.azurewebsites.net/codes-schedules/definitions/74</vt:lpwstr>
      </vt:variant>
      <vt:variant>
        <vt:lpwstr/>
      </vt:variant>
      <vt:variant>
        <vt:i4>6619260</vt:i4>
      </vt:variant>
      <vt:variant>
        <vt:i4>87</vt:i4>
      </vt:variant>
      <vt:variant>
        <vt:i4>0</vt:i4>
      </vt:variant>
      <vt:variant>
        <vt:i4>5</vt:i4>
      </vt:variant>
      <vt:variant>
        <vt:lpwstr>https://digital-navigator.azurewebsites.net/codes-schedules/definitions/466</vt:lpwstr>
      </vt:variant>
      <vt:variant>
        <vt:lpwstr/>
      </vt:variant>
      <vt:variant>
        <vt:i4>6488185</vt:i4>
      </vt:variant>
      <vt:variant>
        <vt:i4>84</vt:i4>
      </vt:variant>
      <vt:variant>
        <vt:i4>0</vt:i4>
      </vt:variant>
      <vt:variant>
        <vt:i4>5</vt:i4>
      </vt:variant>
      <vt:variant>
        <vt:lpwstr>https://digital-navigator.azurewebsites.net/codes-schedules/definitions/103</vt:lpwstr>
      </vt:variant>
      <vt:variant>
        <vt:lpwstr/>
      </vt:variant>
      <vt:variant>
        <vt:i4>6357105</vt:i4>
      </vt:variant>
      <vt:variant>
        <vt:i4>81</vt:i4>
      </vt:variant>
      <vt:variant>
        <vt:i4>0</vt:i4>
      </vt:variant>
      <vt:variant>
        <vt:i4>5</vt:i4>
      </vt:variant>
      <vt:variant>
        <vt:lpwstr>https://digital-navigator.azurewebsites.net/codes-schedules/definitions/923</vt:lpwstr>
      </vt:variant>
      <vt:variant>
        <vt:lpwstr/>
      </vt:variant>
      <vt:variant>
        <vt:i4>6422651</vt:i4>
      </vt:variant>
      <vt:variant>
        <vt:i4>78</vt:i4>
      </vt:variant>
      <vt:variant>
        <vt:i4>0</vt:i4>
      </vt:variant>
      <vt:variant>
        <vt:i4>5</vt:i4>
      </vt:variant>
      <vt:variant>
        <vt:lpwstr>https://digital-navigator.azurewebsites.net/codes-schedules/definitions/31</vt:lpwstr>
      </vt:variant>
      <vt:variant>
        <vt:lpwstr/>
      </vt:variant>
      <vt:variant>
        <vt:i4>6357105</vt:i4>
      </vt:variant>
      <vt:variant>
        <vt:i4>75</vt:i4>
      </vt:variant>
      <vt:variant>
        <vt:i4>0</vt:i4>
      </vt:variant>
      <vt:variant>
        <vt:i4>5</vt:i4>
      </vt:variant>
      <vt:variant>
        <vt:lpwstr>https://digital-navigator.azurewebsites.net/codes-schedules/definitions/923</vt:lpwstr>
      </vt:variant>
      <vt:variant>
        <vt:lpwstr/>
      </vt:variant>
      <vt:variant>
        <vt:i4>6488187</vt:i4>
      </vt:variant>
      <vt:variant>
        <vt:i4>72</vt:i4>
      </vt:variant>
      <vt:variant>
        <vt:i4>0</vt:i4>
      </vt:variant>
      <vt:variant>
        <vt:i4>5</vt:i4>
      </vt:variant>
      <vt:variant>
        <vt:lpwstr>https://digital-navigator.azurewebsites.net/codes-schedules/definitions/302</vt:lpwstr>
      </vt:variant>
      <vt:variant>
        <vt:lpwstr/>
      </vt:variant>
      <vt:variant>
        <vt:i4>6488185</vt:i4>
      </vt:variant>
      <vt:variant>
        <vt:i4>69</vt:i4>
      </vt:variant>
      <vt:variant>
        <vt:i4>0</vt:i4>
      </vt:variant>
      <vt:variant>
        <vt:i4>5</vt:i4>
      </vt:variant>
      <vt:variant>
        <vt:lpwstr>https://digital-navigator.azurewebsites.net/codes-schedules/definitions/103</vt:lpwstr>
      </vt:variant>
      <vt:variant>
        <vt:lpwstr/>
      </vt:variant>
      <vt:variant>
        <vt:i4>6619260</vt:i4>
      </vt:variant>
      <vt:variant>
        <vt:i4>66</vt:i4>
      </vt:variant>
      <vt:variant>
        <vt:i4>0</vt:i4>
      </vt:variant>
      <vt:variant>
        <vt:i4>5</vt:i4>
      </vt:variant>
      <vt:variant>
        <vt:lpwstr>https://digital-navigator.azurewebsites.net/codes-schedules/definitions/466</vt:lpwstr>
      </vt:variant>
      <vt:variant>
        <vt:lpwstr/>
      </vt:variant>
      <vt:variant>
        <vt:i4>6422655</vt:i4>
      </vt:variant>
      <vt:variant>
        <vt:i4>63</vt:i4>
      </vt:variant>
      <vt:variant>
        <vt:i4>0</vt:i4>
      </vt:variant>
      <vt:variant>
        <vt:i4>5</vt:i4>
      </vt:variant>
      <vt:variant>
        <vt:lpwstr>https://digital-navigator.azurewebsites.net/codes-schedules/definitions/71</vt:lpwstr>
      </vt:variant>
      <vt:variant>
        <vt:lpwstr/>
      </vt:variant>
      <vt:variant>
        <vt:i4>6488187</vt:i4>
      </vt:variant>
      <vt:variant>
        <vt:i4>60</vt:i4>
      </vt:variant>
      <vt:variant>
        <vt:i4>0</vt:i4>
      </vt:variant>
      <vt:variant>
        <vt:i4>5</vt:i4>
      </vt:variant>
      <vt:variant>
        <vt:lpwstr>https://digital-navigator.azurewebsites.net/codes-schedules/definitions/302</vt:lpwstr>
      </vt:variant>
      <vt:variant>
        <vt:lpwstr/>
      </vt:variant>
      <vt:variant>
        <vt:i4>7602223</vt:i4>
      </vt:variant>
      <vt:variant>
        <vt:i4>57</vt:i4>
      </vt:variant>
      <vt:variant>
        <vt:i4>0</vt:i4>
      </vt:variant>
      <vt:variant>
        <vt:i4>5</vt:i4>
      </vt:variant>
      <vt:variant>
        <vt:lpwstr>https://digital-navigator.azurewebsites.net/dataspec/4.1.1/dataitem/DI50997</vt:lpwstr>
      </vt:variant>
      <vt:variant>
        <vt:lpwstr/>
      </vt:variant>
      <vt:variant>
        <vt:i4>4456459</vt:i4>
      </vt:variant>
      <vt:variant>
        <vt:i4>54</vt:i4>
      </vt:variant>
      <vt:variant>
        <vt:i4>0</vt:i4>
      </vt:variant>
      <vt:variant>
        <vt:i4>5</vt:i4>
      </vt:variant>
      <vt:variant>
        <vt:lpwstr>https://recportal.co.uk/documents/20121/5829638857/Secure+Data+Exchange+Portal+%28SDEP%29+User+Guide+Current.pdf/1168e2f0-3c50-fff2-a658-3a453a3861c9?t=1763115834958</vt:lpwstr>
      </vt:variant>
      <vt:variant>
        <vt:lpwstr/>
      </vt:variant>
      <vt:variant>
        <vt:i4>7602223</vt:i4>
      </vt:variant>
      <vt:variant>
        <vt:i4>51</vt:i4>
      </vt:variant>
      <vt:variant>
        <vt:i4>0</vt:i4>
      </vt:variant>
      <vt:variant>
        <vt:i4>5</vt:i4>
      </vt:variant>
      <vt:variant>
        <vt:lpwstr>https://digital-navigator.azurewebsites.net/dataspec/4.1.1/dataitem/DI50998</vt:lpwstr>
      </vt:variant>
      <vt:variant>
        <vt:lpwstr/>
      </vt:variant>
      <vt:variant>
        <vt:i4>8126501</vt:i4>
      </vt:variant>
      <vt:variant>
        <vt:i4>48</vt:i4>
      </vt:variant>
      <vt:variant>
        <vt:i4>0</vt:i4>
      </vt:variant>
      <vt:variant>
        <vt:i4>5</vt:i4>
      </vt:variant>
      <vt:variant>
        <vt:lpwstr>https://digital-navigator.azurewebsites.net/dataspec/4.1.1/dataitem/DI40213</vt:lpwstr>
      </vt:variant>
      <vt:variant>
        <vt:lpwstr/>
      </vt:variant>
      <vt:variant>
        <vt:i4>6619243</vt:i4>
      </vt:variant>
      <vt:variant>
        <vt:i4>45</vt:i4>
      </vt:variant>
      <vt:variant>
        <vt:i4>0</vt:i4>
      </vt:variant>
      <vt:variant>
        <vt:i4>5</vt:i4>
      </vt:variant>
      <vt:variant>
        <vt:lpwstr>https://recportal.co.uk/documents/20121/5829638857/Resolution+of+Consumer+Facing+Switching+and+Billing+Issues+Current.pdf/603dc862-2752-f56f-f678-3ba280b07b38?t=1758700122332</vt:lpwstr>
      </vt:variant>
      <vt:variant>
        <vt:lpwstr/>
      </vt:variant>
      <vt:variant>
        <vt:i4>2752633</vt:i4>
      </vt:variant>
      <vt:variant>
        <vt:i4>42</vt:i4>
      </vt:variant>
      <vt:variant>
        <vt:i4>0</vt:i4>
      </vt:variant>
      <vt:variant>
        <vt:i4>5</vt:i4>
      </vt:variant>
      <vt:variant>
        <vt:lpwstr>https://digital-navigator.azurewebsites.net/codes-schedules/46/1.3</vt:lpwstr>
      </vt:variant>
      <vt:variant>
        <vt:lpwstr/>
      </vt:variant>
      <vt:variant>
        <vt:i4>6619260</vt:i4>
      </vt:variant>
      <vt:variant>
        <vt:i4>39</vt:i4>
      </vt:variant>
      <vt:variant>
        <vt:i4>0</vt:i4>
      </vt:variant>
      <vt:variant>
        <vt:i4>5</vt:i4>
      </vt:variant>
      <vt:variant>
        <vt:lpwstr>https://digital-navigator.azurewebsites.net/codes-schedules/definitions/469</vt:lpwstr>
      </vt:variant>
      <vt:variant>
        <vt:lpwstr/>
      </vt:variant>
      <vt:variant>
        <vt:i4>6619261</vt:i4>
      </vt:variant>
      <vt:variant>
        <vt:i4>36</vt:i4>
      </vt:variant>
      <vt:variant>
        <vt:i4>0</vt:i4>
      </vt:variant>
      <vt:variant>
        <vt:i4>5</vt:i4>
      </vt:variant>
      <vt:variant>
        <vt:lpwstr>https://digital-navigator.azurewebsites.net/codes-schedules/definitions/56</vt:lpwstr>
      </vt:variant>
      <vt:variant>
        <vt:lpwstr/>
      </vt:variant>
      <vt:variant>
        <vt:i4>6684797</vt:i4>
      </vt:variant>
      <vt:variant>
        <vt:i4>33</vt:i4>
      </vt:variant>
      <vt:variant>
        <vt:i4>0</vt:i4>
      </vt:variant>
      <vt:variant>
        <vt:i4>5</vt:i4>
      </vt:variant>
      <vt:variant>
        <vt:lpwstr>https://digital-navigator.azurewebsites.net/codes-schedules/definitions/556</vt:lpwstr>
      </vt:variant>
      <vt:variant>
        <vt:lpwstr/>
      </vt:variant>
      <vt:variant>
        <vt:i4>2228285</vt:i4>
      </vt:variant>
      <vt:variant>
        <vt:i4>30</vt:i4>
      </vt:variant>
      <vt:variant>
        <vt:i4>0</vt:i4>
      </vt:variant>
      <vt:variant>
        <vt:i4>5</vt:i4>
      </vt:variant>
      <vt:variant>
        <vt:lpwstr>https://digital-navigator.azurewebsites.net/dataspec/marketmessage/MM92035</vt:lpwstr>
      </vt:variant>
      <vt:variant>
        <vt:lpwstr/>
      </vt:variant>
      <vt:variant>
        <vt:i4>7012464</vt:i4>
      </vt:variant>
      <vt:variant>
        <vt:i4>27</vt:i4>
      </vt:variant>
      <vt:variant>
        <vt:i4>0</vt:i4>
      </vt:variant>
      <vt:variant>
        <vt:i4>5</vt:i4>
      </vt:variant>
      <vt:variant>
        <vt:lpwstr>https://digital-navigator.azurewebsites.net/codes-schedules/definitions/88</vt:lpwstr>
      </vt:variant>
      <vt:variant>
        <vt:lpwstr/>
      </vt:variant>
      <vt:variant>
        <vt:i4>6684797</vt:i4>
      </vt:variant>
      <vt:variant>
        <vt:i4>24</vt:i4>
      </vt:variant>
      <vt:variant>
        <vt:i4>0</vt:i4>
      </vt:variant>
      <vt:variant>
        <vt:i4>5</vt:i4>
      </vt:variant>
      <vt:variant>
        <vt:lpwstr>https://digital-navigator.azurewebsites.net/codes-schedules/definitions/558</vt:lpwstr>
      </vt:variant>
      <vt:variant>
        <vt:lpwstr/>
      </vt:variant>
      <vt:variant>
        <vt:i4>6291581</vt:i4>
      </vt:variant>
      <vt:variant>
        <vt:i4>21</vt:i4>
      </vt:variant>
      <vt:variant>
        <vt:i4>0</vt:i4>
      </vt:variant>
      <vt:variant>
        <vt:i4>5</vt:i4>
      </vt:variant>
      <vt:variant>
        <vt:lpwstr>https://digital-navigator.azurewebsites.net/codes-schedules/definitions/537</vt:lpwstr>
      </vt:variant>
      <vt:variant>
        <vt:lpwstr/>
      </vt:variant>
      <vt:variant>
        <vt:i4>6553725</vt:i4>
      </vt:variant>
      <vt:variant>
        <vt:i4>18</vt:i4>
      </vt:variant>
      <vt:variant>
        <vt:i4>0</vt:i4>
      </vt:variant>
      <vt:variant>
        <vt:i4>5</vt:i4>
      </vt:variant>
      <vt:variant>
        <vt:lpwstr>https://digital-navigator.azurewebsites.net/codes-schedules/definitions/575</vt:lpwstr>
      </vt:variant>
      <vt:variant>
        <vt:lpwstr/>
      </vt:variant>
      <vt:variant>
        <vt:i4>6553725</vt:i4>
      </vt:variant>
      <vt:variant>
        <vt:i4>15</vt:i4>
      </vt:variant>
      <vt:variant>
        <vt:i4>0</vt:i4>
      </vt:variant>
      <vt:variant>
        <vt:i4>5</vt:i4>
      </vt:variant>
      <vt:variant>
        <vt:lpwstr>https://digital-navigator.azurewebsites.net/codes-schedules/definitions/574</vt:lpwstr>
      </vt:variant>
      <vt:variant>
        <vt:lpwstr/>
      </vt:variant>
      <vt:variant>
        <vt:i4>6488185</vt:i4>
      </vt:variant>
      <vt:variant>
        <vt:i4>12</vt:i4>
      </vt:variant>
      <vt:variant>
        <vt:i4>0</vt:i4>
      </vt:variant>
      <vt:variant>
        <vt:i4>5</vt:i4>
      </vt:variant>
      <vt:variant>
        <vt:lpwstr>https://digital-navigator.azurewebsites.net/codes-schedules/definitions/103</vt:lpwstr>
      </vt:variant>
      <vt:variant>
        <vt:lpwstr/>
      </vt:variant>
      <vt:variant>
        <vt:i4>6619243</vt:i4>
      </vt:variant>
      <vt:variant>
        <vt:i4>9</vt:i4>
      </vt:variant>
      <vt:variant>
        <vt:i4>0</vt:i4>
      </vt:variant>
      <vt:variant>
        <vt:i4>5</vt:i4>
      </vt:variant>
      <vt:variant>
        <vt:lpwstr>https://recportal.co.uk/documents/20121/5829638857/Resolution+of+Consumer+Facing+Switching+and+Billing+Issues+Current.pdf/603dc862-2752-f56f-f678-3ba280b07b38?t=1758700122332</vt:lpwstr>
      </vt:variant>
      <vt:variant>
        <vt:lpwstr/>
      </vt:variant>
      <vt:variant>
        <vt:i4>8126506</vt:i4>
      </vt:variant>
      <vt:variant>
        <vt:i4>6</vt:i4>
      </vt:variant>
      <vt:variant>
        <vt:i4>0</vt:i4>
      </vt:variant>
      <vt:variant>
        <vt:i4>5</vt:i4>
      </vt:variant>
      <vt:variant>
        <vt:lpwstr>https://digital-navigator.azurewebsites.net/dataspec/4.0.0/dataitem/DI90017</vt:lpwstr>
      </vt:variant>
      <vt:variant>
        <vt:lpwstr/>
      </vt:variant>
      <vt:variant>
        <vt:i4>1114130</vt:i4>
      </vt:variant>
      <vt:variant>
        <vt:i4>3</vt:i4>
      </vt:variant>
      <vt:variant>
        <vt:i4>0</vt:i4>
      </vt:variant>
      <vt:variant>
        <vt:i4>5</vt:i4>
      </vt:variant>
      <vt:variant>
        <vt:lpwstr>https://digital-navigator.azurewebsites.net/dataspec/4.0.0/marketmessage/MM90012</vt:lpwstr>
      </vt:variant>
      <vt:variant>
        <vt:lpwstr/>
      </vt:variant>
      <vt:variant>
        <vt:i4>6619243</vt:i4>
      </vt:variant>
      <vt:variant>
        <vt:i4>0</vt:i4>
      </vt:variant>
      <vt:variant>
        <vt:i4>0</vt:i4>
      </vt:variant>
      <vt:variant>
        <vt:i4>5</vt:i4>
      </vt:variant>
      <vt:variant>
        <vt:lpwstr>https://recportal.co.uk/documents/20121/5829638857/Resolution+of+Consumer+Facing+Switching+and+Billing+Issues+Current.pdf/603dc862-2752-f56f-f678-3ba280b07b38?t=1758700122332</vt:lpwstr>
      </vt:variant>
      <vt:variant>
        <vt:lpwstr/>
      </vt:variant>
      <vt:variant>
        <vt:i4>4522040</vt:i4>
      </vt:variant>
      <vt:variant>
        <vt:i4>0</vt:i4>
      </vt:variant>
      <vt:variant>
        <vt:i4>0</vt:i4>
      </vt:variant>
      <vt:variant>
        <vt:i4>5</vt:i4>
      </vt:variant>
      <vt:variant>
        <vt:lpwstr>mailto:enquiries@recmanager.co.uk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Hardy</dc:creator>
  <cp:keywords/>
  <cp:lastModifiedBy>Lorna MALLON</cp:lastModifiedBy>
  <cp:revision>60</cp:revision>
  <cp:lastPrinted>2025-12-04T06:52:00Z</cp:lastPrinted>
  <dcterms:created xsi:type="dcterms:W3CDTF">2026-02-11T17:18:00Z</dcterms:created>
  <dcterms:modified xsi:type="dcterms:W3CDTF">2026-02-11T12:54:00Z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2023-06-28T02:43:41Z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792deafc-57ac-4681-b9f5-875577a399cc</vt:lpwstr>
  </property>
  <property fmtid="{D5CDD505-2E9C-101B-9397-08002B2CF9AE}" pid="8" name="MSIP_Label_ea60d57e-af5b-4752-ac57-3e4f28ca11dc_ContentBits">
    <vt:lpwstr>0</vt:lpwstr>
  </property>
  <property fmtid="{D5CDD505-2E9C-101B-9397-08002B2CF9AE}" pid="9" name="MSIP_Label_459ef8e5-3aaa-41a0-b30c-a77b6f506147_Enabled">
    <vt:lpwstr>true</vt:lpwstr>
  </property>
  <property fmtid="{D5CDD505-2E9C-101B-9397-08002B2CF9AE}" pid="10" name="MSIP_Label_459ef8e5-3aaa-41a0-b30c-a77b6f506147_SetDate">
    <vt:lpwstr>2024-03-28T15:41:38Z</vt:lpwstr>
  </property>
  <property fmtid="{D5CDD505-2E9C-101B-9397-08002B2CF9AE}" pid="11" name="MSIP_Label_459ef8e5-3aaa-41a0-b30c-a77b6f506147_Method">
    <vt:lpwstr>Standard</vt:lpwstr>
  </property>
  <property fmtid="{D5CDD505-2E9C-101B-9397-08002B2CF9AE}" pid="12" name="MSIP_Label_459ef8e5-3aaa-41a0-b30c-a77b6f506147_Name">
    <vt:lpwstr>Internal</vt:lpwstr>
  </property>
  <property fmtid="{D5CDD505-2E9C-101B-9397-08002B2CF9AE}" pid="13" name="MSIP_Label_459ef8e5-3aaa-41a0-b30c-a77b6f506147_SiteId">
    <vt:lpwstr>9343c96b-27bb-4092-add6-977870612481</vt:lpwstr>
  </property>
  <property fmtid="{D5CDD505-2E9C-101B-9397-08002B2CF9AE}" pid="14" name="MSIP_Label_459ef8e5-3aaa-41a0-b30c-a77b6f506147_ActionId">
    <vt:lpwstr>63f6a2b3-7b48-4911-8f83-11864e993822</vt:lpwstr>
  </property>
  <property fmtid="{D5CDD505-2E9C-101B-9397-08002B2CF9AE}" pid="15" name="MSIP_Label_459ef8e5-3aaa-41a0-b30c-a77b6f506147_ContentBits">
    <vt:lpwstr>0</vt:lpwstr>
  </property>
  <property fmtid="{D5CDD505-2E9C-101B-9397-08002B2CF9AE}" pid="16" name="MSIP_Label_2d7f055f-5347-41d4-8cbe-c035e83f4f3c_Enabled">
    <vt:lpwstr>true</vt:lpwstr>
  </property>
  <property fmtid="{D5CDD505-2E9C-101B-9397-08002B2CF9AE}" pid="17" name="MSIP_Label_2d7f055f-5347-41d4-8cbe-c035e83f4f3c_SetDate">
    <vt:lpwstr>2024-10-15T06:07:07Z</vt:lpwstr>
  </property>
  <property fmtid="{D5CDD505-2E9C-101B-9397-08002B2CF9AE}" pid="18" name="MSIP_Label_2d7f055f-5347-41d4-8cbe-c035e83f4f3c_Method">
    <vt:lpwstr>Standard</vt:lpwstr>
  </property>
  <property fmtid="{D5CDD505-2E9C-101B-9397-08002B2CF9AE}" pid="19" name="MSIP_Label_2d7f055f-5347-41d4-8cbe-c035e83f4f3c_Name">
    <vt:lpwstr>defa4170-0d19-0005-0004-bc88714345d2</vt:lpwstr>
  </property>
  <property fmtid="{D5CDD505-2E9C-101B-9397-08002B2CF9AE}" pid="20" name="MSIP_Label_2d7f055f-5347-41d4-8cbe-c035e83f4f3c_SiteId">
    <vt:lpwstr>883dbbc0-a334-4b54-87cf-04fa94aeafb8</vt:lpwstr>
  </property>
  <property fmtid="{D5CDD505-2E9C-101B-9397-08002B2CF9AE}" pid="21" name="MSIP_Label_2d7f055f-5347-41d4-8cbe-c035e83f4f3c_ActionId">
    <vt:lpwstr>9884601f-90a9-47e9-8d30-da6eb4d9a4c6</vt:lpwstr>
  </property>
  <property fmtid="{D5CDD505-2E9C-101B-9397-08002B2CF9AE}" pid="22" name="MSIP_Label_2d7f055f-5347-41d4-8cbe-c035e83f4f3c_ContentBits">
    <vt:lpwstr>0</vt:lpwstr>
  </property>
  <property fmtid="{D5CDD505-2E9C-101B-9397-08002B2CF9AE}" pid="23" name="tikitDocRef">
    <vt:lpwstr>LEGAL02#113221402v2[ELK01]</vt:lpwstr>
  </property>
  <property fmtid="{D5CDD505-2E9C-101B-9397-08002B2CF9AE}" pid="24" name="ContentTypeId">
    <vt:lpwstr>0x010100E3F83C56C950074FBBC1FEEA0F1826A8</vt:lpwstr>
  </property>
  <property fmtid="{D5CDD505-2E9C-101B-9397-08002B2CF9AE}" pid="25" name="Order">
    <vt:r8>5529700</vt:r8>
  </property>
  <property fmtid="{D5CDD505-2E9C-101B-9397-08002B2CF9AE}" pid="26" name="MediaServiceImageTags">
    <vt:lpwstr/>
  </property>
</Properties>
</file>